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specified county, first- or second-class municipality, or other specified area in which Employer carries on a like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same business or profession as that of the employer that constitutes competition under SDCL 53-9-11.]</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b w:val="0"/>
          <w:bCs w:val="0"/>
        </w:rPr>
        <w:t xml:space="preserve">12 months</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 The parties acknowledge that, under SDCL chapter 53-9, whether a covenant is enforceable turns on statutory fit rather than on a free-floating reasonableness test.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the agreement and, for the non-competition and customer non-solicitation covenants, not exceeding two years from that date as required by SDCL 53-9-11.</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South Dakota Uniform Trade Secrets Act, SDCL 37-29-1.</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each restrictive covenant in this agreement is intended to fit within an exception to SDCL 53-9-8, which voids any contract restraining the exercise of a lawful profession, trade, or business to that extent except as provided by SDCL 53-9-9 to 53-9-12. The non-competition and customer non-solicitation covenants rely on the employee exception in SDCL 53-9-11, which permits an agreement not to engage in the same business or profession as that of Employer and not to solicit existing customers of Employer, within a specified county, first- or second-class municipality, or other specified area, for a period not exceeding two years from the date of termination of the agreement, while Employer continues to carry on a like business therein. The parties acknowledge that these exceptions are construed narrowly to promote the proscription against general restraints on trade (American Rim &amp; Brake, Inc. v. Zoellner, 382 N.W.2d 421 (S.D. 1986)), and each covenant is drawn to protect Employer's Protected Interests and no broader than the applicable exception permits.</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SDCL 53-9-11 permits Employee to agree to these covenants at the time of employment or at any time during employment, and Employee acknowledges receiving adequate consideration for them, including employment or continued employment, compensation, and access to Employer's Confidential Information. Employee acknowledges having had the opportunity to consult an attorney before signing. Employee further acknowledges that if Employee's employment ends through no fault of Employee, a South Dakota court may take that circumstance into account in reviewing the reasonableness of these covenants (Central Monitoring Serv., Inc. v. Zakinski, 1996 S.D. 116, 553 N.W.2d 513). This agreement is effective as of the Effective Date listed in Cover Terms, which is also the date from which the statutory two-year ceiling and, for a covered practitioner, the July 1, 2023 threshold in SDCL 53-9-11.2 are measured.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and are enforced only to the extent reasonably necessary to protect Employer's interest in Confidential Information (1st American Systems, Inc. v. Rezatto, 311 N.W.2d 51 (S.D. 1981)). Trade secrets are protected under the South Dakota Uniform Trade Secrets Act, SDCL 37-29-1 et seq., which supplies its own remedies — including a three-year limitations period (SDCL 37-29-6) and attorney-fee shifting for bad-faith claims, bad-faith injunction motions, and willful and malicious misappropriation (SDCL 37-29-4) — that operate independently of any covenant in this agreement.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parties acknowledge that no South Dakota statute or staged decision squarely addresses a worker's own no-recruit promise, and this covenant is drawn narrowly for that reason.</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therein. This covenant is limited to affirmative solicitation of Employer's existing customers, as SDCL 53-9-11 permits, and does not prohibit Employee from accepting, servicing, or selling to a customer who seeks out Employee without solicitation — an agreement not to solicit is not an agreement not to sell (Farm Bureau Life Ins. Co. v. Dolly, 2018 S.D. 28, 910 N.W.2d 196), and no statutory exception permits an agreement not to accept unsolicited business (Miller v. Honkamp Krueger Fin. Servs., Inc., 9 F.4th 1011 (8th Cir. 2021)). The Restricted Period for this covenant does not exceed two years from the date of termination of the agreement.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the same business or profession as that of Employer — that is, in any Competitive Business — within the Restricted Territory, while Employer continues to carry on a like business therein. This covenant relies on the employee exception in SDCL 53-9-11; its duration does not exceed two years from the date of termination of the agreement, its territory is confined to the specified county, first- or second-class municipality, or other specified area named in Cover Terms, and it operates only while Employer carries on a like business in that area. The covenant is drawn to the exact limits of the statutory exception rather than in reliance on judicial narrowing.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a restraint on active roles at and material participation in a Competitive Business functions as a covenant not to compete, it is subject to the same SDCL 53-9-11 limits as the non-compete in this agreement — the specified area, the like-business condition, and the two-year ceiling measured from the date of termination of the agreement — and investment language broad enough to operate as a restraint on Employee's own trade would fall within the SDCL 53-9-8 void baseline.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If Employee is a practitioner as defined in SDCL 53-9-11.1 — a broad class that includes physicians, physician assistants, paramedics and emergency medical technicians, respiratory care practitioners, chiropractors, and other licensed clinical roles — then under SDCL 53-9-11.2 any provision of this agreement that would restrict Employee from practicing or otherwise providing professional services in accordance with the applicable scope of practice, after the conclusion of the employment or professional relationship, is voidable at Employee's election and Employer will not seek to enforce it as a practice restriction. This section does not apply to a provision effective upon the sale of a practice or an interest in a practice, or to a restriction on soliciting current patients or clients that complies with the geographic and temporal limitations referenced in SDCL 53-9-11.</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rely on, and this agreement does not incorporate, any no-hire, no-solicit, or no-recruit clause in any agreement between Employer and a customer, vendor, or other third party as a means of restraining Employee, because an employer may not bind its own employee through an agreement with a third party (Communication Technical Sys., Inc. v. Densmore, 1998 S.D. 87, 583 N.W.2d 125).</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an SDCL chapter 53-9 exception. Employee consents to this disclosure. Employer acknowledges that asserting a covenant the chapter would void may expose Employer to a claim of tortious interference.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The parties acknowledge that no South Dakota statute addresses tolling, that the two-year ceiling in SDCL 53-9-11 is written into the exception and runs from the date of termination of the agreement, and that a court may decline to enforce any extension that would carry a covenant past the statutory limit.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the South Dakota Uniform Trade Secrets Act supplies independent remedies, including attorney-fee shifting in the circumstances described in SDCL 37-29-4 and a three-year limitations period under SDCL 37-29-6, that operate whether or not any covenant in this agreement survives. Absent a contractual fee-shifting provision, each party bears its own attorney fees under the default American Rule.</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Each restrictive covenant in this agreement is drawn to fit within an exception to SDCL 53-9-8 and is intended to be enforceable as written rather than in reliance on judicial revision. The parties acknowledge that South Dakota recognizes partial enforcement only to conform a covenant to its statutory limits and will not read into chapter 53-9 an exception the Legislature did not adopt (Franklin v. Forever Venture, Inc., 2005 S.D. 53, 696 N.W.2d 545; Miller v. Honkamp Krueger Fin. Servs., Inc., 9 F.4th 1011 (8th Cir. 2021)). If any restraint is found to exceed the applicable exception, it is enforced only to the extent the exception permits and is otherwise void to that extent under SDCL 53-9-8. Because the agreement is divisible, the confidentiality and trade-secret obligations and any other separable provisions remain in full force even if a restrictive covenant is found unenforceable (1st American Systems, Inc. v. Rezatto, 311 N.W.2d 51 (S.D. 1981)).</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(Wilbur-Ellis Co. v. Erikson, 103 F.4th 1352 (8th Cir. 2024)).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successor that holds a restrictive covenant takes it subject to the same SDCL 53-9-11 limits, including the like-business condition; a successor that ceases to carry on a like business in the Restricted Territory loses the condition on which the covenant depends.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acknowledge that South Dakota courts honor a contractual choice-of-law provision only unless it contravenes South Dakota public policy, and that SDCL 53-9-8 expresses such a public policy; a covenant affecting a South Dakota worker, a South Dakota restricted territory, or a South Dakota customer base is expected to be analyzed under SDCL chapter 53-9 whatever law is named here (Miller v. Honkamp Krueger Fin. Servs., Inc., 9 F.4th 1011 (8th Cir. 2021)).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must preserve the date on which the agreement was entered into and the date from which the statutory two-year ceiling runs.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