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Tennessee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special facts, over and above ordinary competition, that a Tennessee covenant may protect, namely Employer's Confidential Information, Employer's trade secrets as protected by the Tennessee Uniform Trade Secrets Act (Tenn. Code Ann. §§ 47-25-1701 to 47-25-1709), Employer's investment in special training provided to Employee, and Employer's customer relationships in which Employee is the face of Employer's business,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Tennessee Uniform Trade Secrets Act, Tenn. Code Ann. § 47-25-1702.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Tennessee treats covenants not to compete as disfavored restraints of trade that are nonetheless not invalid per se and may be enforced when reasonable under the particular circumstances (Hasty v. Rent-A-Driver, Inc., 671 S.W.2d 471 (Tenn. 1984)). The parties acknowledge that a covenant may not be used to restrain ordinary competition and that Employer relies on special facts present over and above ordinary competition — its Confidential Information and trade secrets, its investment in special training, and its customer relationships in which Employee is the face of the business — and would not provide Employee with access to these Protected Interests absent the protections in this agreement. Each covenant is intended to be no greater in time, territory, and scope than is required to protect Employer's business interest, weighed against the consideration supporting this agreement, the threatened danger to Employer in the absence of the covenant, the economic hardship imposed on Employee, and the public interest (Allright Auto Parks, Inc. v. Berry, 409 S.W.2d 361 (Tenn. 1966)).</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and record the timing of its execution. If this agreement is signed at the outset of employment, the offer and commencement of employment is the consideration. If Employee is an existing employee signing after hire, the parties agree that Employee's continued employment for an appreciable length of time is consideration for the covenants, consistent with Central Adjustment Bureau, Inc. v. Ingram, 678 S.W.2d 28 (Tenn. 1984), which held such covenants binding because of the length of each employee's continued employment; where continued employment is brief, Employer intends to provide, and this recital should identify, separate consideration for the covenants. Employer has given Employee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Tennessee reasonableness test on the protectable interest,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Tennessee law, including the Tennessee Uniform Trade Secrets Act, Tenn. Code Ann. §§ 47-25-1701 to 47-25-1709, under which a contractual duty to maintain secrecy or limit use of a trade secret is not void or unenforceable solely for lack of a durational or geographical limitation (Tenn. Code Ann. § 47-25-1708(b)(1)).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provide contemporaneous evidence of Employer's efforts to protect its Confidential Information and trade secrets — the special facts on which a Tennessee covenant depends.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 employee non-solicitation agreement is expressly preserved from the 2026 statute's non-compete rules (Tenn. Code Ann. § 50-1-210(c)); this covenant is drawn to stay within that preserved category, reaching only Covered Employees the departing Employee actually worked with or managed, and it does not operate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client or customer non-solicitation agreement is expressly preserved from the 2026 statute's non-compete rules (Tenn. Code Ann. § 50-1-210(c)); this covenant is drawn to stay within that preserved category, reaching only Covered Customers with whom Employee had material contact and mapping directly onto Employer's interest in the customer relationships in which Employee was the face of the business. Together with the confidentiality and trade-secret protections in this agreement, a customer non-solicit is often a stronger and more readily enforceable protection than a broad non-compete, and it must not be drawn so broadly that it effectively bars Employee from competing at all.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2026 statute's preserved list names confidentiality and non-solicitation agreements but not a non-dealing covenant (Tenn. Code Ann. § 50-1-210(c)), so a court may analyze this covenant under the disfavored-restraint framework rather than under the carve-out; it is therefore sized tightly to the customer relationships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the special facts over and above ordinary competition on which a Tennessee covenant depends — and not to restrain ordinary competition (Hasty v. Rent-A-Driver, Inc., 671 S.W.2d 471 (Tenn. 1984)). Consistent with Allright Auto Parks, Inc. v. Berry, 409 S.W.2d 361 (Tenn. 1966), the parties intend this covenant to be no greater in time and territory than is required to protect Employer's business interest, weighed against the consideration, the threatened danger to Employer, the hardship on Employee, and the public interest. For a covenant governed by the 2026 statute — one entered into, renewed, or amended on or after July 1, 2026 — the Restricted Period is intended to stay within the applicable presumption window of Tenn. Code Ann. § 50-1-210, which a court applies as a rebuttable presumption and beyond which a longer term is presumed unreasonable in time; a within-window term is presumed reasonable in time only, and geography and the protectable interest remain to be tested. This covenant is also subject to the compensation threshold and worker exclusions stated below.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and for a covenant governed by 2026 Tenn. Pub. Acts ch. 934 — one entered into, renewed, or amended on or after July 1, 2026, or enforced in a proceeding occurring on or after that date — the non-compete restriction is not enforceable against, and Employer will not require, request, or enforce it against, Employee if Employee's annualized compensation is less than seventy thousand dollars ($70,000); a non-compete executed in violation of that bar is void and unenforceable as a matter of public policy (Tenn. Code Ann. § 50-1-211(a), (c)). For this purpose, annualized compensation includes wages, salary, commissions, nondiscretionary bonuses, and other remuneration, and for an hourly employee is calculated by multiplying the hourly rate by forty and the product by fifty-two (Tenn. Code Ann. § 50-1-211(b)(2)). In addition, and regardless of Employee's compensation, duration, or territory, the non-compete restriction does not apply to and is void against Employee if Employee is a physician who specializes in the practice of emergency medicine: the health-care safe harbor does not reach emergency-medicine physicians (Tenn. Code Ann. § 63-1-148(d)), and except as specifically prescribed by statute, physicians' covenants not to compete are unenforceable and void (Murfreesboro Medical Clinic, P.A. v. Udom, 166 S.W.3d 674 (Tenn. 2005)). The other restrictive covenants in this agreement remain in effect to the extent they are otherwise enforceable.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post-employment restraint analyzed under the same Tennessee reasonableness standard as the non-compete in this agreement, and to the extent it operates as a non-compete governed by the 2026 statute it is subject to the same compensation threshold and worker exclusions stated above (Tenn. Code Ann. §§ 50-1-210, 50-1-211).</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is a health-care provider licensed under chapters 3, 4, 5, 6, 8, 9, or 11 of Title 63 of the Tennessee Code, any covenant in this agreement restricting Employee's right to practice Employee's profession upon termination is intended to stay within the statutory safe harbor of Tenn. Code Ann. § 63-1-148(a): it must be set forth in a written document signed by Employee and Employer, run two years or less in duration, and stay within the greater of a ten-mile radius from Employee's primary practice site while employed or contracted or the county in which that primary practice site is located. A covenant tied to the purchase or sale of Employee's practice carries a rebuttable presumption that its agreed duration and area are reasonable (Tenn. Code Ann. § 63-1-148(b)). Meeting the safe harbor deems the covenant reasonable in time and area only; the protectable-interest requirement and the other common-law limits still apply. This safe harbor does not reach a physician who specializes in the practice of emergency medicine (Tenn. Code Ann. § 63-1-148(d)), and against such a physician any non-compete is void and unenforceable, as provided in the Compensation Threshold and Workers Exempt from the Non-Compete section above; the confidentiality and non-solicitation covenants in this agreement are not affected.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from July 1, 2026, an employer may not require, request, or enforce a non-compete against a below-threshold employee (Tenn. Code Ann. § 50-1-211(a)), so any notice built on a non-compete should be conditioned on a covenant that actually survives the compensation threshold and the reasonableness analysis.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Tennessee has no statute or controlling appellate decision squarely endorsing tolling or extension of the restricted period during breach or litigation, and the 2026 statute measures its presumption window from the date the relationship terminates and is silent on pausing it (Tenn. Code Ann. § 50-1-210(b)(1)); any extension is itself a restraint that must remain reasonable, because a court may modify or refuse to enforce an unreasonable covenant (Vantage Technology, LLC v. Cross, 17 S.W.3d 637 (Tenn. Ct. App. 1999)). The parties therefore intend this extension to be defined and bounded, not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Tennessee Uniform Trade Secrets Act, under which a court may award exemplary damages of up to twice any compensatory award for willful and malicious misappropriation of a trade secret (Tenn. Code Ann. § 47-25-1704(b)). Employer acknowledges the limit on this remedy in the covenant setting: a Tennessee court may refuse to enforce a covenant outright, even one backed by a legitimate protectable interest, where the hardship to Employee and the harm to the public interest outweigh Employer's interest (Columbus Medical Services, LLC v. Thomas, 308 S.W.3d 368 (Tenn. Ct. App. 2009)). If this agreement provides for attorney's fees, the parties intend any such provision to be mutual and prevailing-party based; absent such a provision, the American Rule applies and each party bears its own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Tennessee follows a rule of reasonableness rather than the strict blue-pencil rule, so a court may modify an overbroad covenant so as to render it reasonable (Central Adjustment Bureau, Inc. v. Ingram, 678 S.W.2d 28 (Tenn. 1984); Vantage Technology, LLC v. Cross, 17 S.W.3d 637 (Tenn. Ct. App. 1999)), and for a covenant governed by the 2026 statute a court may modify a restrictive covenant to render it reasonable and enforceable (Tenn. Code Ann. § 50-1-210(d)); Employer therefore requests reformation if any restraint in this agreement is found to be overbroad. That power is discretionary and has a hard limit: a covenant shown by credible evidence to be deliberately unreasonable and oppressive is invalid rather than reformed (Central Adjustment Bureau), and a court may refuse enforcement entirely where the hardship to Employee and the harm to the public interest outweigh Employer's legitimate interest (Columbus Medical Services, LLC v. Thomas, 308 S.W.3d 368 (Tenn. Ct. App. 2009)). Accordingly, each restrictive covenant in this agreement is drawn as a reasonable,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Per-covenant survival keeps each clock independently checkable, which matters in Tennessee because the non-compete answers to the § 50-1-211 threshold and the § 50-1-210 time presumptions after July 1, 2026 while the preserved confidentiality and non-solicitation covenants do not.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while an assignment alone moves the covenant, a renewal or amendment papered alongside a transaction on or after July 1, 2026 pulls the covenant into the 2026 statutory regime, including the compensation threshold and the time presumptions (2026 Tenn. Pub. Acts ch. 934, § 3).</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If the law of a state other than Tennessee is selected for an agreement with a Tennessee worker, the parties intend that selection to be executed in good faith and to rest on a genuine connection to the parties, because a Tennessee court honors a contractual intent to apply another jurisdiction's law only when certain requirements are met, beginning with good-faith execution (Vantage Technology, LLC v. Cross, 17 S.W.3d 637 (Tenn. Ct. App. 1999)); a clause deployed to escape Tennessee's protections, including the Tenn. Code Ann. § 50-1-211 seventy-thousand-dollar bar once effective, is vulnerable.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that a renewal or amendment on or after July 1, 2026 brings this agreement within the 2026 statutory regime (2026 Tenn. Pub. Acts ch. 934, § 3).</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