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business interests the Texas Covenants Not to Compete Act permits a covenant to protect under Tex. Bus. &amp; Com. Code § 15.50(a), including Employer's goodwill,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Texas Uniform Trade Secrets Act, Tex. Civ. Prac. &amp; Rem. Code § 134A.002(6).</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Employer and Employee acknowledge that the restrictive covenants in this agreement are ancillary to and part of an otherwise enforceable agreement between them at the time this agreement is made, as required by Tex. Bus. &amp; Com. Code § 15.50(a). As consideration, Employer agrees to provide, and during employment will provide, Employee with Confidential Information, specialized training, and access to Employer's goodwill and customer relationships; that consideration is reasonably related to Employer's interest in protecting its goodwill and other business interests worthy of protection (Marsh USA Inc. v. Cook, 354 S.W.3d 764 (Tex. 2011)). Because the employment relationship may be at will, the parties intend that these covenants become enforceable when Employer performs that promise by providing the Confidential Information, training, or other consideration described above, and Employee acknowledges that Employer's promise to provide Confidential Information gives rise to Employer's interest in restraining its disclosure or use (Alex Sheshunoff Mgmt. Servs., L.P. v. Johnson, 209 S.W.3d 644 (Tex. 2006); Mann Frankfort Stein &amp; Lipp Advisors, Inc. v. Fielding, 289 S.W.3d 844 (Tex. 2009)). The restraints in this agreement contain limitations as to time, geographical area, and scope of activity to be restrained that are reasonable and do not impose a greater restraint than necessary to protect Employer's goodwill or other business interest, as required by Tex. Bus. &amp; Com. Code § 15.50(a).</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Texas law, including the Texas Uniform Trade Secrets Act, Tex. Civ. Prac. &amp; Rem. Code §§ 134A.001–134A.008. This confidentiality obligation does not restrict Employee's use of the general knowledge, skill, and experience Employee acquired during employment, consistent with the Texas Uniform Trade Secrets Act, Tex. Civ. Prac. &amp; Rem. Code § 134A.003,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Texas courts analyze this customer non-solicitation covenant under the Covenants Not to Compete Act's reasonableness test (Tex. Bus. &amp; Com. Code § 15.50(a)); it reaches only Covered Customers with whom Employee had material contact and is no broader than necessary to protect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analyzed under the Covenants Not to Compete Act's reasonableness test (Tex. Bus. &amp; Com. Code § 15.50(a)) and reaches only Covered Customers with whom Employee had material contact, no broader than necessary to protect Employer's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contains limitations as to time, geographic area, and scope of activity to be restrained that are reasonable and impose no greater restraint than necessary to protect Employer's goodwill and other Protected Interests, as required by Tex. Bus. &amp; Com. Code § 15.50(a).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licensed by the Texas Medical Board and this agreement contains a covenant not to compete relating to the practice of medicine, then, as required by Tex. Bus. &amp; Com. Code § 15.50(b): the covenant does not deny Employee access to a list of patients whom Employee has seen or treated within one year before termination; Employee is entitled, on reasonable terms, to access and copies of the medical records of those patients on the patient's authorization; the covenant provides for continuity of care during an acute illness even after the contract or employment terminates; and the covenant provides for a buyout of the covenant by Employee at a reasonable price or, at Employee's election, at a price determined by a mutually agreed arbitrator, in an amount not greater than Employee's total annual salary and wages at the time of termination (§ 15.50(b)(2)). The covenant expires no later than one year after termination, is limited to a radius of no more than five miles from the location where Employee primarily practiced, and is stated clearly and conspicuously in writing (§ 15.50(b)(4)). The practice of medicine does not include managing or directing medical services in a purely administrative capacity (§ 15.50(b-1)), and § 15.50(b) does not apply to Employee's ownership interest in a licensed hospital or licensed ambulatory surgical center (§ 15.50(c)). For an agreement entered into on or after September 1, 2025, the covenant is void and unenforceable if Employee is involuntarily discharged from contract or employment without good cause — meaning a reasonable basis for discharge that is directly related to Employee's conduct, job performance, or contract or employment record (§ 15.50(d)). If Employee is a licensed dentist, a person licensed in professional or vocational nursing, or a licensed physician assistant, then, for an agreement entered into on or after September 1, 2025, any covenant not to compete relating to that practice must provide the same salary-capped buyout, must expire no later than one year after termination, must be limited to a radius of no more than five miles from the location where Employee primarily practiced, and must be stated clearly and conspicuously in writing (§ 15.501).</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Texas Uniform Trade Secrets Act, Tex. Civ. Prac. &amp; Rem. Code § 134A.003, to prevent actual or threatened misappropriation of trade secrets. The parties acknowledge that, under Tex. Bus. &amp; Com. Code § 15.51(c), if Employee proves that Employer knew when this agreement was executed that the covenant's limitations were not reasonable and that Employer sought to enforce the covenant to a greater extent than necessary to protect Employer's goodwill or other business interest, the court may award Employee the cost of defense, including reasonable attorney's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Tex. Bus. &amp; Com. Code § 15.51(c), if a court finds that this covenant is ancillary to or part of an otherwise enforceable agreement but contains limitations as to time, geographic area, or scope of activity that are not reasonable and impose a greater restraint than necessary to protect Employer's goodwill or other business interest, the court shall reform the covenant to the extent necessary to make those limitations reasonable and shall enforce the covenant as reformed. The parties acknowledge that, on reformation, the court may not award Employer damages for any breach of the covenant occurring before reformation and may grant only injunctive relief for that period; each restrictive covenant in this agreement is therefore drawn to its final intended scope and does not rely on reformation as a drafting strategy.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Texas Covenants Not to Compete Act, Tex. Bus. &amp; Com. Code §§ 15.50–15.52. Disputes will be resolved in the courts of the Governing Law state, subject to non-waivable rights under applicable law. For a Texas-based Employee, the parties intend Texas law to govern the enforceability of the restrictive covenants: Texas treats the enforcement of covenants not to compete as a matter of fundamental policy (DeSantis v. Wackenhut Corp., 793 S.W.2d 670 (Tex. 1990)), and a foreign choice-of-law clause will not be applied to escape that policy for a Texas worker. A mandatory forum-selection clause is enforceable in Texas, by mandamus if necessary (In re AutoNation, Inc., 228 S.W.3d 663 (Tex. 2007)). The criteria, procedures, and remedies of the Texas Covenants Not to Compete Act are exclusive and preempt other law, including the common law, under Tex. Bus. &amp; Com. Code § 15.52.</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