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New Consideration (if signed after hire)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Sale-of-Business Covenant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{sale_of_business_covenant}</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and other Confidential Information, its customer lists, its customer goodwill, and any unusual training in which Employer has invested, and does not include Employee's general knowledge, skill, and experience.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West Virginia Uniform Trade Secrets Act (W. Va. Code §§ 47-22-1 to 47-22-10) and, where applicable, the federal Defend Trade Secrets Act (18 U.S.C. § 1839).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and each covenant is included to protect those Protected Interests, not to restrain ordinary competition. Employer and Employee agree that each covenant is no greater than is required for the protection of those Protected Interests, does not impose undue hardship on Employee, and is not injurious to the public,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is the consideration for the covenants. If this agreement is signed after Employee's employment has begun, the consideration for the covenants is the new value stated in Cover Terms under New Consideration (if signed after hire).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operates alongside, and independent of, the restrictive covenants in this agreement, and it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responding to a subpoena, court order, or lawful demand of a government agency, with notice to Employer where permitted by law;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is included to protect Employer's workforce stability and goodwill and is drawn no broader than reasonably necessary to protect them.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or for whom Employee had responsibility; it does not bar Employee from working in Employee's field or from engaging in business generally. This covenant is included to protect Employer's customer goodwill and Confidential Information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or for whom Employee had responsibility, and it is included to protect Employer's customer goodwill and drawn no broader than reasonably necessary to protect that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its time and territory are sized to Employee's actual role and Employer's actual market at signing. Where Cover Terms list Specified Competitors, this covenant is limited to those named competitors. If Cover Terms indicate this covenant is a Sale-of-Business Covenant, it is given by Employee in connection with Employee's sale of a business or practice to Employer and is supported by the consideration paid in that transaction.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below the threshold stated in Cover Terms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not to compete in this agreement is subject to W. Va. Code §§ 47-11E-1 to 47-11E-5 and, notwithstanding any other provision of this agreement: (a) the covenant is limited to not more than one year in duration and thirty road miles from Employee's primary place of practice with Employer; and (b) the covenant is void and unenforceable upon the termination of Employee's employment by Employer. The limits in this section do not restrict the provisions of this agreement on return of Employer property, patient lists, and records; repayment of loans, relocation expenses, signing bonuses, or recruiting, education, and training costs; nondisclosure of Confidential Information and Trade Secrets; non-solicitation of patients and employees; or liquidated damages. The limits in this section do not apply where Employee has sold his or her business or practice to Employer, or where this agreement is between physicians who are shareholders, owners, partners, members, or directors of a health care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equitably extended by the period of the breach. Any extension is limited to the period of the breach, and no extension enlarges any physician covenant beyond the limits stated in the Physician and Health Care Practitioner Covenants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to read on its own, so that a court's refusal to enforce one covenant does not affect the others.</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overbreadth and does not purport to obligate a court to narrow, reform, or blue-pencil any covenant;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is intended to expire on its own definite schedule and to read on its own.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