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Wisconsin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 The parties intend this definition to be scoped to protectable information so that this covenant is not construed as an unreasonable restraint of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b w:val="0"/>
          <w:bCs w:val="0"/>
        </w:rPr>
        <w:t xml:space="preserve">12 months</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restriction imposed on Employee's activity under the first prerequisite of Wis. Stat. § 103.465 — Employer's Trade Secrets and genuinely competitively sensitive Confidential Information, its relationships with the specific customers, referral sources, and business partners Employee served, and its stable working relationships with the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Wisconsin Uniform Trade Secrets Act, Wis. Stat. § 134.90(1)(c).</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drawn to protect one or more of Employer's Protected Interests and is intended to be reasonably necessary for the protection of the employer within the meaning of Wis. Stat. § 103.465. Consistent with Star Direct, Inc. v. Dal Pra, 2009 WI 76, each post-employment restraint is intended to (1) be necessary to protect a legitimate interest of Employer, (2) provide a reasonable time limit, (3) provide a reasonable territorial limit, (4) not be harsh or oppressive as to Employee, and (5) not be contrary to public policy. Employer would not provide Employee with access to its Protected Interests absent the protections in this agreement. Each covenant in this agreement is a separate covenant supporting a distinct interest, intended to be independently read and enforced.</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consistent with Runzheimer Int'l, Ltd. v. Friedlen, 2015 WI 45; the parties intend that forbearance to be genuine and not a pretext for a sign-then-fire sequence.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under the Wisconsin Uniform Trade Secrets Act, Wis. Stat. § 134.90. Employee's obligations regarding other Confidential Information continue for the Other Confidential Information Duration stated in Cover Terms. The parties intend this covenant to reach only Trade Secrets and genuinely competitively sensitive information, and not ordinary or non-secret business information, so that it is not construed as an unreasonable restraint under Wis. Stat. § 103.465.</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These procedures support Employer's obligation to take efforts reasonable under the circumstances to maintain the secrecy of its Trade Secrets under Wis. Stat. § 134.90.</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consistent with Manitowoc Co. v. Lanning, 2018 WI 6, which held a non-solicitation provision covering any company employee overbroad on its face under Wis. Stat. § 103.465.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a restraint governed by Wis. Stat. § 103.465 and is lawful and enforceable only if reasonably necessary to protect Employer; it is drawn to protect Employer's relationships with the specific customers, referral sources, and business partners Employee served or learned protected information about, and not Employer's customer base generally.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the parties acknowledge that its added breadth is weighed under the harsh-or-oppressive prerequisite of the Star Direct five-factor test; it is therefore confined to the Covered Customers class and to a definite Restricted Period.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lawful and enforceable only if the restrictions imposed are reasonably necessary for the protection of Employer under Wis. Stat. § 103.465, and it is intended to satisfy each of the Star Direct prerequisites — a protectable interest, a reasonable time limit, a reasonable territorial limit, no harshness or oppression to Employee, and no conflict with public policy. Where Employer's competitors are identified in Cover Terms under Specified Competitors, this covenant is narrowed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governed by Wis. Stat. § 103.465, is subject to the same five-factor reasonableness test as the non-compete in this agreement, and is drawn no broader than reasonably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 If Employee is a lawyer admitted to practice, the restrictive covenants that would otherwise restrict Employee's right to practice law do not apply and are void and unenforceable as to that right, consistent with Wisconsin Supreme Court Rule 20:5.6, which bars a lawyer from participating in offering or making such an agreement, except an agreement concerning benefits upon retirement or a restriction that is part of the settlement of a client controversy. No level of compensation or showing of reasonableness cures a restriction that violates this rule.</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governs restrictive covenants given by Employee in Employee's capacity as an employee, which are evaluated under Wis. Stat. § 103.465. Any covenant not to compete or not to solicit that arises from a genuine sale of a business or equity transaction should be given by the seller in the transaction or equity documents, supported by transaction consideration, and separable from any employment relationship, so that it is evaluated under Wisconsin's common-law rule of reason rather than Wis. Stat. § 103.465, consistent with Reiman Assocs., Inc. v. R/A Advertising, Inc., 102 Wis. 2d 305 (Ct. App. 1981), and Selmer Co. v. Rinn, 2010 WI App 106. Nothing in this agreement is intended to recharacterize a transaction-based covenant as an employee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 The parties acknowledge that a competitor who knowingly and intentionally induces breach of an enforceable covenant may face an intentional-interference claim, for which disgorgement may be an appropriate remedy (Frey Construction &amp; Home Improvement, LLC v. Hasheider Roofing &amp; Siding, Ltd., 2025 WI App 4), and that this notice right depends on a covenant that survives the reasonableness test.</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 The parties have omitted any extension-during-breach clause deliberately: under H&amp;R Block Eastern Enters., Inc. v. Swenson, 2008 WI App 3, an extension provision makes the duration of the restraint contingent on outcomes the employee cannot predict rather than fixed and definite, which renders the restraint unreasonable and voids each affected clause under Wis. Stat. § 103.465 even where the clause would otherwise be reasonable.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the parties acknowledge that any such relief is available only on a covenant that satisfies each of the five prerequisites of Wis. Stat. § 103.465. If the parties agree on attorney fees, that agreement is presumed reasonable under Wis. Stat. § 814.045(3), and in any action in which compensatory damages are awarded the court presumes that reasonable attorney fees do not exceed three times the compensatory damages awarded unless the court determines a greater amount is reasonable under Wis. Stat. § 814.045(2)(a).</w:t>
      </w:r>
    </w:p>
    <w:p>
      <w:pPr>
        <w:pStyle w:val="OABody"/>
        <w:keepNext/>
        <w:numPr>
          <w:ilvl w:val="0"/>
          <w:numId w:val="1"/>
        </w:numPr>
        <w:spacing w:before="320" w:after="120" w:line="340" w:lineRule="auto"/>
        <w:jc w:val="left"/>
      </w:pPr>
      <w:r>
        <w:rPr>
          <w:b/>
          <w:bCs/>
        </w:rPr>
        <w:t xml:space="preserve">Divisibility; No Reliance on Reformation</w:t>
      </w:r>
    </w:p>
    <w:p>
      <w:pPr>
        <w:pStyle w:val="OABody"/>
        <w:spacing w:before="0" w:after="120" w:line="340" w:lineRule="auto"/>
        <w:ind w:left="720"/>
      </w:pPr>
      <w:r>
        <w:t xml:space="preserve">Each restrictive covenant in this agreement is a separate covenant supporting a distinct interest, is intended to be independently read and enforced, and is drawn to a lawful scope at the outset. The parties acknowledge that, under Wis. Stat. § 103.465, a covenant imposing an unreasonable restraint is illegal, void, and unenforceable even as to any part of the covenant that would be a reasonable restraint, and that a court will not narrow or blue-pencil an overbroad covenant. The parties further acknowledge that, under Diamond Assets LLC v. Godina, 2022 WI App 47, a savings or modification provision contrary to Wis. Stat. § 103.465 has no effect. Accordingly, this agreement does not rely on any court-may-modify or savings clause to cure overbreadth; if any covenant is found unreasonable and void, the remaining covenants, which support different interests and can be independently read and enforced, remain in full force and effect, consistent with the divisibility rule of Star Direct, Inc. v. Dal Pra, 2009 WI 76.</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and each expires on its own definite schedule and is readable on its own. Obligations under the Confidential Information and Trade Secret Protection section survive to the extent, and for as long as, the information remains a Trade Secret under Wis. Stat. § 134.90.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Wis. Stat. § 103.465 reasonableness test and the same void-in-full consequence.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including Wis. Stat. § 103.465, and do not rely on any foreign choice-of-law clause to obtain more covenant-friendly treatment; Wisconsin courts have refused to apply a foreign choice-of-law provision that conflicts with Wisconsin's public policy controlling covenants not to compete (Beilfuss v. Huffy Corp., 2004 WI App 118; Bush v. National School Studios, Inc., 139 Wis. 2d 635 (1987)).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that re-papers a covenant during employment requires its own consideration, such as genuine forbearance from termination or tangible new value.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