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This carve-out applies as a matter of contract whether or not a specific state invention-assignment statute applies. The Prior Inventions and Excluded Inventions identified in Cover Terms are also carved out and remain Employee's property.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