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appropriate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stated in it, which may include initial or continued employment, access to Confidential Information and customer relationships, training, compensation, a raise, or a bonus.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prohibit Employee from practicing Employee's specialty.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and their businesses.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limited to the scope needed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Employee must not compete with the purchased business during the Restricted Period within the Restricted Territory in a manner that impairs the goodwill the buyer purchased. This restriction does not prohibit Employee from practicing a profession in any capacity.</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limited to the Restricted Territory and Restricted Period stated in Cover Terms. The covenant does not restrict work where doing so would materially reduce access to free or low-cost care for a population in need.</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any maximum period permitted by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