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California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and legally protected business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and non-disparagement obligations in this agreement are intended to protect Employer's Protected Interests without restraining Employee from engaging in a lawful profession, trade, or business.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and other lawful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and return-of-property obligations.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primarily resides and works in California, this agreement does not require Employee, as a condition of employment, to adjudicate a claim arising in California outside California or to waive the substantive protection of California law, except where Employee was individually represented by counsel in negotiating a different provision.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