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and legally protected business information.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and non-disparagement obligations in this agreement are intended to protect Employer's Protected Interests without restraining Employee from engaging in a lawful profession, trade, or business.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and other lawful obligations under this agreement to any prospective employer or business associate of Employee if Employer has a reasonable belief that Employee may breach those lawful obligations.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and to enforce Employee's confidentiality and return-of-property obligations.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an Employee who primarily resides and works in California, this agreement does not require Employee, as a condition of employment, to adjudicate a claim arising in California outside California or to waive the substantive protection of California law, except where Employee was individually represented by counsel in negotiating a different provision.</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(California)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