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Delaware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in its customer, vendor, referral-source, and business-partner relationships,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listed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limited to a reasonable scope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Employee signs this agreement after employment begins, Employer provides continued employment and any additional value identified in connection with this signing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a reasonable scope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limited to a reasonable scope to protect Employer's goodwill in those customer, vendor, referral-source, and business-partner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limited to a reasonable scope to protect Employer's Protected Interests,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limited to a reasonable scope to advance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Employee's right to practice medicine in a particular locale or for a defined period after termination. Employee remains responsible for any agreed damages reasonably related to injury caused by termination, including damages related to competition.</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Employee to execute a covenant not to compete with, or pay any fee, charge, or other thing of value to, a supervising licensed home inspector as a condition of satisfying the trainee requirements. This carve-out does not alter the covenants as applied to any other worker.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nothing in this agreement waives non-waivable restrictions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carrying forward a restrictive covenant must identify the consideration supporting that amendment.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