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 The execution date is decisive for physician covenants: it selects which statutory layer governs (the July 1, 2020 content requirements, the July 1, 2023 primary care ban, and the July 1, 2025 physician-hospital ban).]</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Indiana</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Covered Employee Period</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Covered Customer Period</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Non-Competition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rPr>
              <w:t xml:space="preserve">the geographic area in which Employee provided services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b/>
                <w:bCs/>
                <w:i/>
                <w:iCs/>
                <w:color w:val="494A4B"/>
                <w:sz w:val="21"/>
                <w:szCs w:val="21"/>
                <w:highlight w:val="yellow"/>
              </w:rPr>
              <w:t xml:space="preserve">[Description of the business activities that constitute competition with the employer.]</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rPr>
              <w:t xml:space="preserve"/>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 Business with Covered Customers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Non-Investment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Passive Public Holdings Threshold</w:t>
            </w:r>
          </w:p>
        </w:tc>
        <w:tc>
          <w:tcPr>
            <w:tcW w:w="6480" w:type="dxa"/>
            <w:tcMar>
              <w:top w:w="60" w:type="dxa"/>
              <w:left w:w="0" w:type="dxa"/>
              <w:bottom w:w="60" w:type="dxa"/>
              <w:right w:w="0" w:type="dxa"/>
            </w:tcMar>
          </w:tcPr>
          <w:p>
            <w:r>
              <w:rPr>
                <w:rFonts w:ascii="Arial" w:hAnsi="Arial" w:cs="Arial"/>
                <w:i/>
                <w:iCs/>
                <w:color w:val="494A4B"/>
                <w:sz w:val="21"/>
                <w:szCs w:val="21"/>
              </w:rPr>
              <w:t xml:space="preserve">five percent</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Physician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Release Buyout Price</w:t>
            </w:r>
          </w:p>
        </w:tc>
        <w:tc>
          <w:tcPr>
            <w:tcW w:w="6480" w:type="dxa"/>
            <w:tcMar>
              <w:top w:w="60" w:type="dxa"/>
              <w:left w:w="0" w:type="dxa"/>
              <w:bottom w:w="60" w:type="dxa"/>
              <w:right w:w="0" w:type="dxa"/>
            </w:tcMar>
          </w:tcPr>
          <w:p>
            <w:r>
              <w:rPr>
                <w:rFonts w:ascii="Arial" w:hAnsi="Arial" w:cs="Arial"/>
                <w:i/>
                <w:iCs/>
                <w:color w:val="494A4B"/>
                <w:sz w:val="21"/>
                <w:szCs w:val="21"/>
              </w:rPr>
              <w:t xml:space="preserve"/>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 and excluding the general skills, knowledge, and experience Employee acquired during employment.</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b w:val="0"/>
          <w:bCs w:val="0"/>
        </w:rPr>
        <w:t xml:space="preserve">12 months</w:t>
      </w:r>
      <w:r>
        <w:t xml:space="preserve"> before termination of employment and who hold Confidential Information or specialized, hard-to-replace value in which Employer has a legitimate Protected Interest. This class is limited to such employees and does not extend to Employer's workforce at large.</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b w:val="0"/>
          <w:bCs w:val="0"/>
        </w:rPr>
        <w:t xml:space="preserve">five percent</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Confidential Information, trade secrets, goodwill in its customer, vendor, referral-source, and business-partner relationships, and established customer relationships, but not Employer's interest in avoiding ordinary competition or Employee's general skills or routine industry knowledge.</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or encourage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means information that qualifies as a trade secret under applicable law.</w:t>
      </w:r>
    </w:p>
    <w:p>
      <w:pPr>
        <w:pStyle w:val="OABody"/>
        <w:keepNext/>
        <w:numPr>
          <w:ilvl w:val="0"/>
          <w:numId w:val="1"/>
        </w:numPr>
        <w:spacing w:before="320" w:after="120" w:line="340" w:lineRule="auto"/>
        <w:jc w:val="left"/>
      </w:pPr>
      <w:r>
        <w:rPr>
          <w:b/>
          <w:bCs/>
        </w:rPr>
        <w:t xml:space="preserve">Recitals and Protectable Interests</w:t>
      </w:r>
    </w:p>
    <w:p>
      <w:pPr>
        <w:pStyle w:val="OABody"/>
        <w:spacing w:before="0" w:after="120" w:line="340" w:lineRule="auto"/>
        <w:ind w:left="720"/>
      </w:pPr>
      <w:r>
        <w:t xml:space="preserve">Employer and Employee acknowledge that each restrictive covenant in this agreement protects one or more of Employer's Protected Interests. Employer would not provide Employee with access to these Protected Interests absent the protections in this agreement. If this agreement is ancillary to the sale of a business or an ownership interest, the applicable covenants remain subject to their stated terms.</w:t>
      </w:r>
    </w:p>
    <w:p>
      <w:pPr>
        <w:pStyle w:val="OABody"/>
        <w:keepNext/>
        <w:numPr>
          <w:ilvl w:val="0"/>
          <w:numId w:val="1"/>
        </w:numPr>
        <w:spacing w:before="320" w:after="120" w:line="340" w:lineRule="auto"/>
        <w:jc w:val="left"/>
      </w:pPr>
      <w:r>
        <w:rPr>
          <w:b/>
          <w:bCs/>
        </w:rPr>
        <w:t xml:space="preserve">Timing, Consideration, and Employee Acknowledgements</w:t>
      </w:r>
    </w:p>
    <w:p>
      <w:pPr>
        <w:pStyle w:val="OABody"/>
        <w:spacing w:before="0" w:after="120" w:line="340" w:lineRule="auto"/>
        <w:ind w:left="720"/>
      </w:pPr>
      <w:r>
        <w:t xml:space="preserve">In consideration of Employee's employment or continued employment and the benefits provided under this agreement, the parties agree to its terms. Employee acknowledges having had the opportunity to consult with independent legal counsel before signing this agreement. Employee acknowledges that the restrictions in this agreement are appropriate to protect Employer's Protected Interests.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Employee's obligations regarding other Confidential Information continue for the period specified in Cover Terms. This confidentiality obligation does not restrict Employee's use of the general knowledge, skill, and experience Employee acquired during employment.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 This notice is provided as required under 18 U.S.C. § 1833(b)(3)(A) in a contract governing the use of a trade secret or other confidential information.</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within the Restricted Territory, engage in the same activities Employee actually performed for Employer on behalf of a Competitive Business. This covenant does not bar Employee from working for a competitor in a role unrelated to the activities Employee performed for Employer. If Specified Competitors are listed in Cover Terms, Competitive Business is limited to those listed competitors. Passive Public Holdings are permitted.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Passive Public Holdings are permitted.</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protected concerted activity.</w:t>
      </w:r>
    </w:p>
    <w:p>
      <w:pPr>
        <w:pStyle w:val="OABody"/>
        <w:keepNext/>
        <w:numPr>
          <w:ilvl w:val="0"/>
          <w:numId w:val="1"/>
        </w:numPr>
        <w:spacing w:before="320" w:after="120" w:line="340" w:lineRule="auto"/>
        <w:jc w:val="left"/>
      </w:pPr>
      <w:r>
        <w:rPr>
          <w:b/>
          <w:bCs/>
        </w:rPr>
        <w:t xml:space="preserve">Physician Covenants and Statutory Requirements</w:t>
      </w:r>
    </w:p>
    <w:p>
      <w:pPr>
        <w:pStyle w:val="OABody"/>
        <w:spacing w:before="0" w:after="120" w:line="340" w:lineRule="auto"/>
        <w:ind w:left="720"/>
      </w:pPr>
      <w:r>
        <w:t xml:space="preserve">The non-competition covenant does not apply if (a) Employee is a primary care physician and this agreement is entered into on or after July 1, 2023, or (b) Employee is a physician employed by a hospital, a hospital parent company, an affiliated hospital manager, or a hospital system and this agreement is entered into on or after July 1, 2025. Any required release right and buyout price are stated in Cover Terms. The confidentiality and employee non-solicitation covenants remain in effect according to their terms.</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 Any such disclosure is limited to factual information about the existence and terms of this agreement.</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of the breach, so that the full duration of the restriction runs from the date the breach ends.</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indefinitely to the extent they relate to trade secrets.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 The parties intend that a successor may enforce these covenants only to protect a Protected Interest the successor holds as its own, and the assignment does not enlarge the scope of any covenant.</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An amendment changes the Effective Date only if the amendment expressly states a new Effective Date.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(Indiana)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(Indiana)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(Indiana)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