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Named Parishes or Municipalities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{restricted_territory_parishes}</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that are similar to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The parties agree that the non-competition and customer non-solicitation covenants apply only to the Competitive Business, Restricted Territory, and Restricted Period stated in this agreement.</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If Employee signs this agreement before the first day of employment, the covenants take effect when Employee's employment commences. Employee accepts the restrictions in consideration of employment or continued employment and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Passive Public Holdings are permitted. This covenant does not restrict Employee from selling automobiles.</w:t>
      </w:r>
    </w:p>
    <w:p>
      <w:r>
        <w:t xml:space="preserve">{END-IF}</w:t>
      </w:r>
    </w:p>
    <w:p>
      <w:r>
        <w:t xml:space="preserve">{IF worker_is_physician}</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any restriction on practicing medicine expires three years after the Effective Date for a primary care physician and five years after the Effective Date for any other physician.</w:t>
      </w:r>
    </w:p>
    <w:p>
      <w:r>
        <w:t xml:space="preserve">{END-IF}</w:t>
      </w:r>
    </w:p>
    <w:p>
      <w:r>
        <w:t xml:space="preserve">{IF worker_is_real_estate_licensee}</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Employee may exercise the right by written notice to Employer within the rescission window.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reasonably believes Employee may breach it.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A breach does not extend the non-competition or customer non-solicitation covenant beyond two years after Employee's employment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available under applicable trade-secret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indefinitely to the extent they relate to trade secrets and for the stated period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subject to the same Restricted Territory, Restricted Period, and exclusions stated in this agreement.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Louisiana law. Disputes arising from this agreement must be resolved in the Louisiana courts identified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