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entity that employs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Massachusetts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garden leave equal to at least 50% of Employee's highest annualized base salary paid within the two years before termination, paid pro rata across the Restricted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Employer's Confidential Information that would not otherwise qualify as a trade secret, and Employer's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and agree that the restrictive covenants in this agreement are supported by, and limited to the scope needed to protect,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which must not exceed 12 months after employment ends, Employee must not engage in, be employed by, consult for, or have an active ownership interest in any Competitive Business within the Restricted Territory. If Employee breaches a fiduciary duty to Employer or unlawfully takes Employer's property, the Restricted Period may extend to no more than 2 years after employment ends. This covenant is supported by the garden leave or other consideration stated in Cover Terms and is subject to the worker exclusions below. Passive Public Holdings are permitted.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If Cover Terms state garden leave or other mutually-agreed upon consideration for the non-compete, the parties stipulate that consideration as the consideration supporting the non-compete in this agreement (Mass. Gen. Laws ch. 149, § 24L(b)(vii)). If Cover Terms state garden leave, Employer agrees to pay Employee, consistent with Mass. Gen. Laws ch. 149, § 148, on a pro-rata basis during the entirety of the Restricted Period for the non-compete, at least 50 percent of Employee's highest annualized base salary paid by Employer within the 2 years preceding the cessation of employment. This payment obligation takes effect upon the cessation of employment unless Employer waives the non-compete in writing at or before the cessation of employment, in which case the non-compete does not take effect and no garden leave payments are owed. Except in the event of a breach by Employee, Employer may not unilaterally discontinue or otherwise fail or refuse to make the garden leave payments.</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does not apply to Employee if Employee is: (i) classified as nonexempt under federal wage-and-hour law; (ii) an undergraduate or graduate student in an internship or other short-term employment relationship while enrolled in an educational program; (iii) terminated without cause or laid off; or (iv) age 18 or younger. The other restrictive covenants in this agreement remain in effect according to their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garden leave or other agreed consideration, 12-month duration cap, and worker exclusions stated above apply to this covenant.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a registered or practical nurse, a licensed psychologist, or a licensed social worker.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Employer will not require or enforce such a restriction.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Any extension of the non-compete under this section remains subject to the duration limits stated in the Non-Competition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any civil action relating to the non-compete in this agreement that is subject to Mass. Gen. Laws ch. 149, § 24L, Employer and Employee mutually agree that the action may be brought in Suffolk County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entity that employs the employee]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