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Covered Employee Period</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{covered_employee_period}</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Covered Customer Period</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{covered_customer_period}</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Passive Public Holdings Threshold</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{passive_public_holdings_threshold}</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and excluding the general knowledge, skill, and experience Employee acquired during employment.</w:t>
      </w:r>
    </w:p>
    <w:p>
      <w:pPr>
        <w:pStyle w:val="OABody"/>
        <w:numPr>
          <w:ilvl w:val="1"/>
          <w:numId w:val="1"/>
        </w:numPr>
        <w:spacing w:before="0" w:after="120" w:line="340" w:lineRule="auto"/>
      </w:pPr>
      <w:r>
        <w:rPr>
          <w:b/>
          <w:bCs/>
          <w:color w:val="117086"/>
        </w:rPr>
        <w:t xml:space="preserve">“Covered Customers”</w:t>
      </w:r>
      <w:r>
        <w:t xml:space="preserve"> means clients and accounts of Employer with whom Employee actually did business and had personal contact during the </w:t>
      </w:r>
      <w:r>
        <w:rPr>
          <w:highlight w:val="yellow"/>
        </w:rPr>
        <w:t xml:space="preserve">{covered_customer_period}</w:t>
      </w:r>
      <w:r>
        <w:t xml:space="preserve"> before termination of employment. This definition does not reach clients or accounts the Employee did not personally serve, and it does not reach prospective customers.</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Confidential Information, Trade Secrets, and goodwill in the customer relationships Employee personally served.</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Nebraska Trade Secrets Act, Neb. Rev. Stat. § 87-502(4).</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is intended to protect one or more of Employer's Protected Interests and to impose no restraint greater than is appropriate for that protection. The parties acknowledge that each covenant is meant to guard Employer's Confidential Information, trade secrets, and goodwill in the customer relationships Employee personally served — not to eliminate ordinary competition — and that Employer would not provide Employee with access to these Protected Interests absent the protections in this agreement. Each covenant is intended to be reasonable and no greater than necessary as written, and to stand on its own.</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Employee acknowledges that this agreement is supported by adequate consideration and that Employee has had the opportunity to consult with independent legal counsel before signing this agreement.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This confidentiality obligation is intended to operate alongside, and independent of, any restrictive covenant, and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specified in Cover Terms for Employee Non-Solicitation,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This covenant reaches only Covered Employees during the Restricted Period, limited to the scope needed to protect Employer's workforce stability and goodwill.</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Personally Served Customers</w:t>
      </w:r>
    </w:p>
    <w:p>
      <w:pPr>
        <w:pStyle w:val="OABody"/>
        <w:spacing w:before="0" w:after="120" w:line="340" w:lineRule="auto"/>
        <w:ind w:left="720"/>
      </w:pPr>
      <w:r>
        <w:t xml:space="preserve">During the Restricted Period specified in Cover Terms for Customer Non-Solicitation, Employee must not Solicit the business of any Covered Customer. This covenant applies only to clients and accounts Employee actually did business with and personally contacted, and does not apply to prospective customers or clients Employee never personally served.</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specified in Cover Terms for No Business with Covered Customers, Employee must not accept, service, or do business with any Covered Customer, regardless of whether Employee or the Covered Customer first initiated contact. This restriction applies only to clients and accounts with which Employee actually did business and had personal contact.</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specified in Cover Terms for Non-Competition, Employee must not, on behalf of a Competitive Business, solicit, work for, service, or do business with any Covered Customer. This covenant applies only to customers Employee personally served. If Employer has identified specific competitors in Cover Terms under Specified Competitors, this covenant applies only to Employee's activities on behalf of those named competitors.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specified in Cover Terms for Non-Investment, Employee must not acquire or hold any active ownership interest in, serve as a director, officer, manager, or advisor to, or have material economic participation in any Competitive Business insofar as that role would enable Employee to solicit, service, or do business with a Covered Customer. Passive Public Holdings are permitted.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r>
        <w:t xml:space="preserve">{IF worker_is_physician}</w:t>
      </w:r>
    </w:p>
    <w:p>
      <w:pPr>
        <w:pStyle w:val="OABody"/>
        <w:keepNext/>
        <w:numPr>
          <w:ilvl w:val="0"/>
          <w:numId w:val="1"/>
        </w:numPr>
        <w:spacing w:before="320" w:after="120" w:line="340" w:lineRule="auto"/>
        <w:jc w:val="left"/>
      </w:pPr>
      <w:r>
        <w:rPr>
          <w:b/>
          <w:bCs/>
        </w:rPr>
        <w:t xml:space="preserve">Physician and Health Care Practitioner Covenants</w:t>
      </w:r>
    </w:p>
    <w:p>
      <w:pPr>
        <w:pStyle w:val="OABody"/>
        <w:spacing w:before="0" w:after="120" w:line="340" w:lineRule="auto"/>
        <w:ind w:left="720"/>
      </w:pPr>
      <w:r>
        <w:t xml:space="preserve">If Employee is a physician or other health care practitioner, any covenant in this agreement restraining Employee applies only to patients Employee personally served and does not prohibit patients from choosing a provider or obtaining continuity of care.</w:t>
      </w:r>
    </w:p>
    <w:p>
      <w:r>
        <w:t xml:space="preserve">{END-IF}</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 including any covenant from a prior employer.</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 Any such notice must be limited to the covenants as written and to Covered Customers Employee personally served.</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up to a maximum extension equal to the original Restricted Period.</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Each party bears its own attorney's fees and costs unless applicable law or a court order provides otherwise.</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Each restrictive covenant in this agreement is a separate, self-contained unit with its own scope, duration, and survival. Each covenant is scoped to the customers Employee personally served, is independently enforceable as written, and can fall alone without affecting the remaining covenants.</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for that covenant, on its own definite schedule and is read on its own. Obligations under the Confidential Information and Trade Secret Protection section survive indefinitely to the extent they relate to trade secrets.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 Any successor's right to enforce a covenant is no greater than Employer's.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Any amendment widening a covenant must state the changed covenant, its effective date, and the supporting consideration.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(Nebraska)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(Nebraska)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(Nebraska)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