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existing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is supported by valuable consideration and protects Employer's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If this agreement is signed at the outset of employment, the offer and commencement of employment is the consideration for the covenants. If Employee signs after employment has begun, the new consideration stated in Cover Terms under Mid-Employment Consideration is exchanged for the covenants.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and any amendment changing its scope must be in writing and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This covenant does not reach prospective clients Employer never obtained.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distinctly severable provision is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Carolina law governs this agreement, and the state and federal courts located in North Carolina have exclusive jurisdiction over disputes arising from it, subject to non-waivable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