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It anchors the surviving obligations — the confidentiality term and the anti-raiding non-solicitation window — without changing the North Dakota rule that voids restraints on a lawful profession, trade, or business regardless of the date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Dakota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North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experience, and public knowledge.</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The employee non-solicitation covenant does not bar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applicable law. Employee's obligations regarding other Confidential Information continue for the period specified in Cover Terms. These obligations do not bar Employee from working for a competitor or serving customers without using or disclosing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another employer.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Employer may not obtain relief under this agreement that prohibits Employee from working for a competitor. If a party prevails in an action to enforce an obligation under this agreement, the non-prevailing party must reimburse the prevailing party's reasonable attorney's fees and costs to the extent permitted by applicable law. No fee, damages, or forfeiture applies to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any obligation under this agreement.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Dakota law governs this agreement, and disputes will be resolved in the state and federal courts located in North Dakota.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