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Oregon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494A4B"/>
                <w:sz w:val="21"/>
                <w:szCs w:val="21"/>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b w:val="0"/>
          <w:bCs w:val="0"/>
        </w:rPr>
        <w:t xml:space="preserve">12 months</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competitively sensitive Confidential Information,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of Employer's Protected Interests. Employee will receive access to Employer's Protected Interests, and Employer would not provide that access absent the protections in this agreement. Employee acknowledges that the covenants are reasonable and necessary to protect Employer's Protected Interests.</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Employee acknowledges either that Employee received a written employment offer stating that the covenant was required at least two weeks before employment began or that Employee enters into the covenant upon a bona fide advancement. Employer has advised Employee that Employee may consult with an attorney before entering into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Under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provide Employee a signed copy of any noncompetition covenant within 30 days after termination.</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restriction applies only to Covered Employees during the Restricted Period.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The Covered Customers class is limited to customers with an active or ongoing relationship with Employer and does not include former or merely incidental patrons.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an active or ongoing relationship with Employer and excludes former or incidental patrons.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duties, salary basis, and annual compensation at termination satisfy applicable law or Employer makes the garden-leave payment stated in Cover Terms. Employer will provide Employee a signed copy of this covenant within 30 days after termination. The Restricted Period ends no later than 12 months after termination. Passive Public Holdings are permitted.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Employer agrees to pay Employee </w:t>
      </w:r>
      <w:r>
        <w:rPr>
          <w:b w:val="0"/>
          <w:bCs w:val="0"/>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r>
        <w:t xml:space="preserve"> during the non-compete's Restricted Period when the garden-leave payment condition applies.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is subject to the same conditions and Restricted Period as the Non-Competition covenant.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Under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trade-secret and proprietary-information interests.</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 covenant in this agreement restricts Employee's practice of medicine or nursing where applicable law prohibits that restriction.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restrictive covenant other than the non-compete, the Restricted Period for that covenant is extended by one day for each day of the breach. Tolling will not extend the non-compete beyond 12 months after termination.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lawful relief to protect its Trade Secrets and proprietary information. The prevailing party in an enforcement action is entitled to reasonable attorney fees, costs, and disbursements.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The non-compete expires no later than 12 months after termination.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Assignment does not expand a covenant or eliminate any condition applicable to its enforcement.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Oregon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introducing or expanding a non-compete is effective only if executed in connection with a bona fide advancement or other formation event permitted by applicable law. This agreement may otherwise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