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3600" w:type="dxa"/>
            <w:tcMar>
              <w:top w:w="60" w:type="dxa"/>
              <w:left w:w="0" w:type="dxa"/>
              <w:bottom w:w="60" w:type="dxa"/>
              <w:right w:w="0" w:type="dxa"/>
            </w:tcMar>
          </w:tcPr>
          <w:p>
            <w:r>
              <w:t xml:space="preserve">{IF new_consideration_description}</w:t>
            </w:r>
            <w:r>
              <w:rPr>
                <w:rFonts w:ascii="Arial" w:hAnsi="Arial" w:cs="Arial"/>
                <w:b/>
                <w:bCs/>
                <w:color w:val="1D2021"/>
                <w:sz w:val="22"/>
                <w:szCs w:val="22"/>
              </w:rPr>
              <w:t xml:space="preserve">New Consideration for a Mid-Employment Covenant</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{new_consideration_description}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highlight w:val="yellow"/>
        </w:rPr>
        <w:t xml:space="preserve">{covered_customer_period}</w:t>
      </w:r>
      <w:r>
        <w:t xml:space="preserve"> before termination of employment, and does not include any customer, vendor, referral source, or business partner whose relationship with Employer predated Employee's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Confidential Information, Employer's trade secrets, Employer's goodwill in its customer, vendor, referral-source, and business-partner relationships, and the specialized training, skills, and carefully guarded methods of doing business that Employer provides to Employee, but not Employer's interest in avoiding ordinary competition.</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affirmatively contact, approach, induce, encourage, or entice a person or entity, directed at a Covered Customer or Covered Employee, for the purpose of diverting business away from Employer or of recruiting a Covered Employee, and does not include Employee's mere acceptance of business from a Covered Customer who seeks Employee out, responding to general advertisements, or responding to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that qualifies for trade-secret protection by applicable Pennsylvania and federal law, including the Pennsylvania Uniform Trade Secrets Act, for as long as the information continues to derive independent economic value from not being generally known and remains the subject of reasonable efforts to maintain its secrecy.</w:t>
      </w:r>
    </w:p>
    <w:p>
      <w:pPr>
        <w:pStyle w:val="OABody"/>
        <w:keepNext/>
        <w:numPr>
          <w:ilvl w:val="0"/>
          <w:numId w:val="1"/>
        </w:numPr>
        <w:spacing w:before="320" w:after="120" w:line="340" w:lineRule="auto"/>
        <w:jc w:val="left"/>
      </w:pPr>
      <w:r>
        <w:rPr>
          <w:b/>
          <w:bCs/>
        </w:rPr>
        <w:t xml:space="preserve">Recitals and Protectable Interests</w:t>
      </w:r>
    </w:p>
    <w:p>
      <w:pPr>
        <w:pStyle w:val="OABody"/>
        <w:spacing w:before="0" w:after="120" w:line="340" w:lineRule="auto"/>
        <w:ind w:left="720"/>
      </w:pPr>
      <w:r>
        <w:t xml:space="preserve">Employer and Employee acknowledge that each restrictive covenant in this agreement is ancillary to the employment relationship between them and is supported by adequate consideration. Employee will receive access to Employer's Confidential Information and trade secrets and will develop customer relationships and goodwill on Employer's behalf, and Employer would not provide Employee with access to these Protected Interests absent the protections in this agreement. The parties acknowledge that each covenant is intended to protect one or more of Employer's Protected Interests and not to eliminate ordinary competition, that each covenant imposes no restraint greater than is appropriate for that protection, and that each covenant is reasonably limited in duration and geographic extent.</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This agreement is effective as of the Effective Date listed in Cover Terms. If this agreement is signed at the outset of employment, the offer and commencement of employment is the consideration for the covenants in this agreement. If Employee signs after employment has begun, Employer will provide the new consideration described in Cover Terms under New Consideration for a Mid-Employment Covenant. Employee acknowledges having had the opportunity to consult with independent legal counsel before signing this agreement.</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 This confidentiality obligation operates alongside, and independent of, each restrictive covenant in this agreement, and does not restrict Employee's use of the general knowledge, skill, and experience Employee acquired during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making disclosures required by law, court order, or a government investigation, with notice to Employer where lawful;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This covenant is included to protect Employer's Protected Interests, including its workforce stability and goodwill, and is drawn no broader than reasonably necessary to protect them.</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within the Restricted Territory. This covenant restrains only Employee's affirmative outreach: Employee's mere acceptance of business from a Covered Customer who seeks Employee out is not a breach. The covenant reaches only Covered Customers with whom Employee had material contact and does not reach customers whose relationships with Employer predated Employee's employment. This covenant is included to protect Employer's goodwill in its customer relationships and is drawn no broader than reasonably necessary to protect it.</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within the Restricted Territory, regardless of whether Employee or the Covered Customer first initiated contact. This covenant reaches only Covered Customers with whom Employee had material contact, and is included to protect Employer's goodwill in its customer relationships and drawn no broader than reasonably necessary to protect it.</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is included to protect Employer's Protected Interests — its Confidential Information, trade secrets, and customer goodwill — and not to restrain ordinary competition, and its duration and territory are sized to Employee's actual role and Employer's actual market. If Employer has identified specific competitors in Cover Terms under Specified Competitors, this covenant is limited to those named competitors. If Employee is a health care practitioner covered by the Fair Contracting for Health Care Practitioners Act, this covenant is separately subject to, and limited by, the Health Care Practitioner Covenants and Patient Notice section below. Passive Public Holdings are permitted.</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covenant is included to protect Employer's Protected Interests and is drawn no broader than reasonably necessary to protect them. Passive Public Holdings are permitted.</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rights protected under Section 7 of the National Labor Relations Act.</w:t>
      </w:r>
    </w:p>
    <w:p>
      <w:r>
        <w:t xml:space="preserve">{IF worker_is_physician}</w:t>
      </w:r>
    </w:p>
    <w:p>
      <w:pPr>
        <w:pStyle w:val="OABody"/>
        <w:keepNext/>
        <w:numPr>
          <w:ilvl w:val="0"/>
          <w:numId w:val="1"/>
        </w:numPr>
        <w:spacing w:before="320" w:after="120" w:line="340" w:lineRule="auto"/>
        <w:jc w:val="left"/>
      </w:pPr>
      <w:r>
        <w:rPr>
          <w:b/>
          <w:bCs/>
        </w:rPr>
        <w:t xml:space="preserve">Health Care Practitioner Covenants and Patient Notice</w:t>
      </w:r>
    </w:p>
    <w:p>
      <w:pPr>
        <w:pStyle w:val="OABody"/>
        <w:spacing w:before="0" w:after="120" w:line="340" w:lineRule="auto"/>
        <w:ind w:left="720"/>
      </w:pPr>
      <w:r>
        <w:t xml:space="preserve">If Employee is a health care practitioner covered by the Fair Contracting for Health Care Practitioners Act — a medical doctor, a doctor of osteopathy, a certified registered nurse anesthetist, a certified registered nurse practitioner, or a physician assistant — then, notwithstanding any other provision of this agreement: (a) no noncompete covenant in this agreement restrains Employee for more than one year; (b) no noncompete covenant in this agreement is enforceable by Employer if Employer dismissed Employee; and (c) nothing in this agreement treats Employee's departure or destination as Confidential Information that Employer may not communicate to patients, and nothing in this agreement restricts or delays any notice to patients that applicable law requires Employer to provide. If any other provision of this agreement conflicts with this section, this section controls.</w:t>
      </w:r>
    </w:p>
    <w:p>
      <w:r>
        <w:t xml:space="preserve">{END-IF}</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so that the full duration of the restriction runs from the date the breach ends. Any extension under this section is limited to the duration of the actual breach, and the parties do not intend any open-ended or indefinite extension.</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and that Employer may seek injunctive or other equitable relief in addition to any other remedies available at law. Any provision for attorney's fees and costs applies to the prevailing party on a mutual basis.</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for that covenant, independently of every other covenant. Obligations under the Confidential Information and Trade Secret Protection section survive for as long as the relevant information remains a Trade Secret.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expressly including each restrictive covenant in it, to any affiliate, successor, or acquirer of all or substantially all of Employer's business or assets, whether by sale of assets or otherwise.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(Pennsylvania)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(Pennsylvania)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(Pennsylvania)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