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by the Rhode Island Uniform Trade Secrets Act, R.I. Gen. Laws § 6-41-1(4), and by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Employer would not provide Employee with access to its Confidential Information and Trade Secrets absent the protections in this agreement.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an agreement not to use or disclose Employer's trade-secret information, including after employment ends, and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confined to the Covered Employees class and the Restricted Period.</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during the Covered Customer Period. If Employee is a physician or an advanced practice registered nurse, this covenant does not apply to Employee's practice of medicine or advanced practice nursing.</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is paid on an hourly basis, is eligible for overtime pay, is serving as a student intern, is age eighteen or younger, or has average annual earnings at or below the applicable amount established by law. This covenant does not restrict Employee's practice of medicine or advanced practice nursing. Where Cover Terms list Specified Competitors, this covenant is limited to those named competitors and their affiliates.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objective exclusions in the Non-Competition section also apply to this restriction.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and the remaining provisions stay in effect (R.I. Gen. Laws § 5-34-50). For such a provider, this agreement operates only to the extent it does not restrict that right to practice.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by the Rhode Island Noncompetition Agreement Act or void under §§ 5-37-33 / 5-34-50.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seek an injunction against actual or threatened misappropriation of Employer's Trade Secrets.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Each covenant survives independently of the others.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Rhode Island law and a Rhode Island forum apply to an Employee who lives and works in Rhode Island.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changes the scope of a restrictive covenant states which covenant version controls.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