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South Carolina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Timing and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Began</w:t>
            </w:r>
          </w:p>
        </w:tc>
        <w:tc>
          <w:tcPr>
            <w:tcW w:w="6480" w:type="dxa"/>
            <w:tcMar>
              <w:top w:w="60" w:type="dxa"/>
              <w:left w:w="0" w:type="dxa"/>
              <w:bottom w:w="60" w:type="dxa"/>
              <w:right w:w="0" w:type="dxa"/>
            </w:tcMar>
          </w:tcPr>
          <w:p>
            <w:r>
              <w:rPr>
                <w:rFonts w:ascii="Arial" w:hAnsi="Arial" w:cs="Arial"/>
                <w:i/>
                <w:iCs/>
                <w:color w:val="494A4B"/>
                <w:sz w:val="21"/>
                <w:szCs w:val="21"/>
              </w:rPr>
              <w:t xml:space="preserve">false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Separate Consideration</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 (Step-Down Alternative)</w:t>
            </w:r>
          </w:p>
        </w:tc>
        <w:tc>
          <w:tcPr>
            <w:tcW w:w="6480" w:type="dxa"/>
            <w:tcMar>
              <w:top w:w="60" w:type="dxa"/>
              <w:left w:w="0" w:type="dxa"/>
              <w:bottom w:w="60" w:type="dxa"/>
              <w:right w:w="0" w:type="dxa"/>
            </w:tcMar>
          </w:tcPr>
          <w:p>
            <w:r>
              <w:rPr>
                <w:rFonts w:ascii="Arial" w:hAnsi="Arial" w:cs="Arial"/>
                <w:i/>
                <w:iCs/>
                <w:color w:val="494A4B"/>
                <w:sz w:val="21"/>
                <w:szCs w:val="21"/>
              </w:rPr>
              <w:t xml:space="preserve">6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 (Step-Down Alternative)</w:t>
            </w:r>
          </w:p>
        </w:tc>
        <w:tc>
          <w:tcPr>
            <w:tcW w:w="6480" w:type="dxa"/>
            <w:tcMar>
              <w:top w:w="60" w:type="dxa"/>
              <w:left w:w="0" w:type="dxa"/>
              <w:bottom w:w="60" w:type="dxa"/>
              <w:right w:w="0" w:type="dxa"/>
            </w:tcMar>
          </w:tcPr>
          <w:p>
            <w:r>
              <w:rPr>
                <w:rFonts w:ascii="Arial" w:hAnsi="Arial" w:cs="Arial"/>
                <w:i/>
                <w:iCs/>
                <w:color w:val="494A4B"/>
                <w:sz w:val="21"/>
                <w:szCs w:val="21"/>
              </w:rPr>
              <w:t xml:space="preserve">the counties in which Employee actually provided services or serviced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ending on its stated end date without extension.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and, as an alternative narrower restriction the parties agree is separately enforceable on its own terms, the area described in Cover Terms under Restricted Territory (Step-Down Alternative).</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protected as a trade secret by the South Carolina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the Protected Interests absent the protections in this agreement. Employee acknowledges that each covenant is necessary to protect Employer's Protected Interests and is supported by valuable consideration.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and is supported by valuable consideration. If this agreement is signed at the outset of employment, the offer and commencement of employment is the consideration for the covenants in it. If, as indicated in Cover Terms under Signed After Employment Began, this agreement is entered into after Employee's employment has already begun, the separate consideration described in Cover Terms under Separate Consideration — such as a raise, bonus, promotion, or change in status — is provided in addition to continued employment specifically in exchange for these covenants.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in any event for as long as the information remains a trade secret. Employee's obligations regarding other Confidential Information continue only for the finite period specified in Cover Terms under Other Confidential Information Duration. This section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any disclosure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or induce any Covered Employee to breach or terminate an employment relationship with Employer. This restriction does not prohibit Employee from providing a professional reference upon request, from hiring a person who responds to a general advertisement not directed specifically at Employer's employees, or from seeking or accepting the services of a person where Employee has not interfered with that person's employment relationship with Employer.</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restrict Employee with respect to customers, vendors, referral sources, or business partners Employee never serviced or contacted.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numPr>
          <w:ilvl w:val="1"/>
          <w:numId w:val="1"/>
        </w:numPr>
        <w:spacing w:before="0" w:after="120" w:line="340" w:lineRule="auto"/>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Passive Public Holdings are permitted.</w:t>
      </w:r>
    </w:p>
    <w:p>
      <w:pPr>
        <w:pStyle w:val="OABody"/>
        <w:numPr>
          <w:ilvl w:val="1"/>
          <w:numId w:val="1"/>
        </w:numPr>
        <w:spacing w:before="0" w:after="120" w:line="340" w:lineRule="auto"/>
      </w:pPr>
      <w:r>
        <w:t xml:space="preserve">The duration and territory for this covenant are the primary Duration and Restricted Territory stated in Cover Terms.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with a former employer.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w:t>
      </w:r>
    </w:p>
    <w:p>
      <w:pPr>
        <w:pStyle w:val="OABody"/>
        <w:spacing w:before="0" w:after="120" w:line="340" w:lineRule="auto"/>
        <w:ind w:left="720"/>
      </w:pPr>
      <w:r>
        <w:t xml:space="preserve">Each Restricted Period is a fixed, definite term that runs from the date Employee's employment ends and expires on its stated end date. No Restricted Period is extended or tolled by any period of breach,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statutory remedies for trade-secret misappropriation.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The covenants in this agreement are given in connection with Employee's employment. Any covenant given in connection with a sale of a business is outside the scope of this agreement and is to be set out in the transaction documents for that sale.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expires on its own stated end date. Each covenant is self-contained and is read and enforced on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