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Texas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Confidential Information, Trade Secrets,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In exchange for Employee's covenants in this agreement, Employer agrees to provide Employee with Confidential Information, specialized training, and access to Employer's goodwill and customer relationships. Employee acknowledges that the covenants protect Employer's Protected Interests.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it reaches only Covered Customers with whom Employee had material contact and is limited to the scope needed to protect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practices medicine and this agreement contains a covenant not to compete relating to that practice, Employer will provide Employee access to a list of patients whom Employee saw or treated within one year before termination and, on reasonable terms and with patient authorization, access to and copies of those patients' medical records. Employee may continue caring for a patient during an acute illness after employment ends. Employee may buy out the covenant at a reasonable price or, at Employee's election, at a price determined by a mutually agreed arbitrator, not exceeding Employee's total annual salary and wages at termination. The covenant expires no later than one year after termination and applies within no more than five miles of the location where Employee primarily practiced.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to prevent actual or threatened misappropriation of trade secrets.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Texas law governs this agreement for an Employee who lives and works in Texas.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