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Vermont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Each covenant is limited to the time, territory, and scope stated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supported by Employee's continued employment or, if signed at the outset of employment, Employer's offer of employment.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limited to the scope needed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who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No covenant in this agreement restricts a licensed healthcare professional from practicing beyond the Restricted Period or outside the Restricted Territory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the breach continues. The extension may not exceed the number of days during which the breach continued.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any remedy available under applicable trade-secret law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Employer may assign this agreement to a successor in connection with a sale of its business.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This agreement does not impose a covenant not to compete as a condition of a barbering or cosmetology school's training for licensure, and it does not restrict a lawyer's right to practice after termination of the relationship except as to benefits upon retirement, nor make any restriction on a lawyer's right to practice part of the settlement of a client controversy.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