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and Trade Secrets and Employer's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Employer would not provide Employee with access to these Protected Interests absent the protections in this agreement. Each covenant is limited to the time, territory, and scope stated in this agreement.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supported by Employee's continued employment or, if signed at the outset of employment, Employer's offer of employment. Employee acknowledges having had the opportunity to consult with independent legal counsel before signing this agreement. Employee acknowledges that the restrictions in this agreement are appropriate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limited to the scope needed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is limited to the scope needed to protect Employer's goodwill in its customer relationships.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 whom Employee had material contact, regardless of who initiates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Specified Competitors are listed in Cover Terms, Competitive Business is limited to those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No covenant in this agreement restricts a licensed healthcare professional from practicing beyond the Restricted Period or outside the Restricted Territory stated in Cover Terms.</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the breach continues. The extension may not exceed the number of days during which the breach continued.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any remedy available under applicable trade-secret law for actual or threatened misappropriation of a trade secret.</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 Each covenant's duration is stated in Cover Terms, and no covenant is intended to revive after its stated term has run.</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Employer may assign this agreement to a successor in connection with a sale of its business.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This agreement does not impose a covenant not to compete as a condition of a barbering or cosmetology school's training for licensure, and it does not restrict a lawyer's right to practice after termination of the relationship except as to benefits upon retirement, nor make any restriction on a lawyer's right to practice part of the settlement of a client controversy.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(Vermont)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(Vermont)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(Vermont)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