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Protected Disclosures and Protected Activity.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Nothing in this acknowledgement restricts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from reporting possible violations of law to a government agency or attorney, making disclosures protected by whistleblower laws, or discussing wages, hours, or working conditions as protected by law.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does not need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prior approval to make those disclosures or to notify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that they were made. Pursuant to the Defend Trade Secrets Act (18 U.S.C. § 1833(b)),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not be held criminally or civilly liable under federal or state trade secret law for disclosing a trade secret in confidence to a government official or attorney solely to report or investigate a suspected violation of law, or in a court filing made under seal.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also disclose a trade secret to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attorney and use it in a retaliation lawsuit if any filing containing the trade secret is made under seal and the trade secret is not otherwise disclosed except by court order.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2026-05-27T19:38:32.096Z</dcterms:created>
  <dcterms:modified xsi:type="dcterms:W3CDTF">2026-05-27T19:38:32.096Z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