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Maryland the execution date sorts the covenant into a regime: the health-care void and the high-earner clinician cap reach only agreements executed on or after July 1, 2025, and the architect category reaches only agreements executed on or after October 1, 2026, while the veterinary ban reaches backward to existing agreements.]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Maryland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actually built customer relationships or used protected information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Definitions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that Maryland law recognizes as supporting a restrictive covenant — namely Employer's interest in protecting unique services, Trade Secrets, routes or client lists, and against the solicitation of customers. Each covenant in this agreement is drawn no broader or more restrictive than necessary to effectuate those interests.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Maryland Uniform Trade Secrets Act and applicable federal law, including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(Md. Code, Com. Law § 11-1201(e); see also the federal Defend Trade Secrets Act, 18 U.S.C. § 1839(3)).</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adequate consideration, as Maryland law requires for enforcement. Employee will receive access to Employer's Confidential Information, Trade Secrets, and customer and patient relationships in the course of employment, and each covenant in this agreement is included to protect Employer's Protected Interests and is drawn no wider as to area and duration than reasonably necessary to protect those interests, without imposing undue hardship on Employee or disregarding the interests of the public. The parties intend each covenant to be enforceable as written and drawn within the scope Maryland law permits at the outset, rather than in reliance on any judicial narrowing.</w:t>
      </w:r>
    </w:p>
    <w:p>
      <w:pPr>
        <w:pStyle w:val="OABody"/>
        <w:keepNext/>
        <w:numPr>
          <w:ilvl w:val="0"/>
          <w:numId w:val="1"/>
        </w:numPr>
        <w:spacing w:before="320" w:after="120" w:line="340" w:lineRule="auto"/>
        <w:jc w:val="left"/>
      </w:pPr>
      <w:r>
        <w:rPr>
          <w:b/>
          <w:bCs/>
        </w:rPr>
        <w:t xml:space="preserve">Maryland Statutory Worker-Class Voids</w:t>
      </w:r>
    </w:p>
    <w:p>
      <w:pPr>
        <w:pStyle w:val="OABody"/>
        <w:numPr>
          <w:ilvl w:val="1"/>
          <w:numId w:val="1"/>
        </w:numPr>
        <w:spacing w:before="0" w:after="120" w:line="340" w:lineRule="auto"/>
      </w:pPr>
      <w:r>
        <w:t xml:space="preserve">Notwithstanding any other provision of this agreement, no noncompete or conflict-of-interest provision in this agreement that restricts Employee's ability to enter into employment with a new employer or to become self-employed in the same or similar business or trade applies to or is enforceable against Employee if:</w:t>
      </w:r>
    </w:p>
    <w:p>
      <w:pPr>
        <w:pStyle w:val="OABody"/>
        <w:numPr>
          <w:ilvl w:val="1"/>
          <w:numId w:val="1"/>
        </w:numPr>
        <w:spacing w:before="0" w:after="120" w:line="340" w:lineRule="auto"/>
      </w:pPr>
      <w:r>
        <w:t xml:space="preserve">(a) Employee earns equal to or less than 150% of the State minimum wage rate established under Md. Code, Lab. &amp; Empl. § 3-413 (§ 3-716(a)(1)(i)1);</w:t>
      </w:r>
    </w:p>
    <w:p>
      <w:pPr>
        <w:pStyle w:val="OABody"/>
        <w:numPr>
          <w:ilvl w:val="1"/>
          <w:numId w:val="1"/>
        </w:numPr>
        <w:spacing w:before="0" w:after="120" w:line="340" w:lineRule="auto"/>
      </w:pPr>
      <w:r>
        <w:t xml:space="preserve">(b) Employee is licensed as a veterinary practitioner or veterinary technician under Title 2, Subtitle 3 of the Agriculture Article, at any compensation level (§ 3-716(a)(1)(i)); or</w:t>
      </w:r>
    </w:p>
    <w:p>
      <w:pPr>
        <w:pStyle w:val="OABody"/>
        <w:numPr>
          <w:ilvl w:val="1"/>
          <w:numId w:val="1"/>
        </w:numPr>
        <w:spacing w:before="0" w:after="120" w:line="340" w:lineRule="auto"/>
      </w:pPr>
      <w:r>
        <w:t xml:space="preserve">(c) for an agreement executed on or after July 1, 2025, Employee is in a position that requires licensure under the Health Occupations Article, provides direct patient care, and earns equal to or less than $350,000 in total annual compensation (§ 3-716(a)(1)(i)2).</w:t>
      </w:r>
    </w:p>
    <w:p>
      <w:pPr>
        <w:pStyle w:val="OABody"/>
        <w:numPr>
          <w:ilvl w:val="1"/>
          <w:numId w:val="1"/>
        </w:numPr>
        <w:spacing w:before="0" w:after="120" w:line="340" w:lineRule="auto"/>
      </w:pPr>
      <w:r>
        <w:t xml:space="preserve">For an agreement executed on or after October 1, 2026, the same bar extends to an employee of a licensed architect whose employer, after employing more than 30 workers based primarily in Maryland, relocates the majority of that workforce out of state or no longer maintains its principal place of business in Maryland. Where any such class applies, the parties do not present or enforce the voided provision, and Employer's protection runs instead through the confidentiality, client-list, and Trade-Secret terms of this agreement, which § 3-716(a)(2) leaves intact.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continued at-will employment is adequate consideration for the restrictive covenants in this agreement. For a covenant Employee signs after employment begins, the parties acknowledge that Employee's continued at-will employment supplies that consideration. Employee's execution of this agreement is connected to, and given in exchange for, Employee's continued employment with Employer. Employee has had the opportunity to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under Md. Code, Com. Law § 11-1201(e).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 Where a noncompete in this agreement is void under Md. Code, Lab. &amp; Empl. § 3-716, this section and the client-list terms remain fully effective, because § 3-716(a)(2)'s void rule does not reach provisions with respect to the taking or use of a client or patient list or other proprietary client-related or patient-related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including customer lists and pricing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is drawn as a relationship-based restraint no broader than reasonably necessary to protect Employer's Protected Interests.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scoped to Covered Customers with whom Employee had material contact during the lookback period stated in Cover Terms and is drawn no broader than reasonably necessary to protect Employer's Protected Interests.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The parties include this covenant only where a genuine client-relationship or Trade-Secret interest supports it, and it is drawn no broader than reasonably necessary to protect Employer's Protected Interests.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in all respects to the Maryland Statutory Worker-Class Voids section above: if Employee falls within a class for which Md. Code, Lab. &amp; Empl. § 3-716 makes a noncompete null and void, this covenant does not apply to or bind Employee. For an employee who must be licensed under the Health Occupations Article, provides direct patient care, and earns more than $350,000 in total annual compensation under an agreement executed on or after July 1, 2025, this covenant may be in effect for no longer than one year from the last day of employment and may impose no geographical restriction exceeding ten miles from the primary place of employment (§ 3-716(b)(1)–(2)); for such an employee the Restricted Period and Restricted Territory stated in Cover Terms are themselves set at no more than one year and ten miles. Any covenant that survives § 3-716 is also drawn no wider as to area and duration than reasonably necessary to protect Employer's Protected Interests, without undue hardship on Employee or harm to the public. Passive Public Holdings are permitted.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actual competitors in Cover Terms under Specified Competitors, the non-competition covenant binds Employee only as to those named competitors and their lines of business, rather than the open-ended Competitive Business definition.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and is subject to the Maryland Statutory Worker-Class Voids section and, for a covered high-earner clinician, to the one-year and ten-mile ceilings of § 3-716(b); it is drawn no broader than reasonably necessary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Notices and Patient Communications</w:t>
      </w:r>
    </w:p>
    <w:p>
      <w:pPr>
        <w:pStyle w:val="OABody"/>
        <w:spacing w:before="0" w:after="120" w:line="340" w:lineRule="auto"/>
        <w:ind w:left="720"/>
      </w:pPr>
      <w:r>
        <w:t xml:space="preserve">Nothing in this agreement restricts or delays a departing clinician, or Employer, from communicating a patient's right to continue care with Employee at a new location, or from giving any patient notice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for another employer may be void or unenforceable to the extent it falls within a class Md. Code, Lab. &amp; Empl. § 3-716 protects.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void under Md. Code, Lab. &amp; Empl. § 3-716 for Employee's worker class.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except that Employer may seek a separate, bounded restraint tied to the duration of a breach where a court finds it reasonable on the facts.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Independent of any covenant, actual or threatened misappropriation of Employer's Trade Secrets may be enjoined under the Maryland Uniform Trade Secrets Act (Md. Code, Com. Law § 11-1202(a)), and a court may award exemplary damages up to twice the compensatory award for willful and malicious misappropriation (§ 11-1203(d)). A decision not to enforce a covenant or its liquidated-damages terms does not bar Employer from recovering separately for trade-secret misappropriation. Any fee-shifting between the parties is mutual and prevailing-party based.</w:t>
      </w:r>
    </w:p>
    <w:p>
      <w:pPr>
        <w:pStyle w:val="OABody"/>
        <w:keepNext/>
        <w:numPr>
          <w:ilvl w:val="0"/>
          <w:numId w:val="1"/>
        </w:numPr>
        <w:spacing w:before="320" w:after="120" w:line="340" w:lineRule="auto"/>
        <w:jc w:val="left"/>
      </w:pPr>
      <w:r>
        <w:rPr>
          <w:b/>
          <w:bCs/>
        </w:rPr>
        <w:t xml:space="preserve">Severability and Severable Tiers</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drafted as separate, severable tiers of duration, territory, and covered activity so that a court can strike an excessive tier and enforce the lawful remainder, working no injury to the public and no injustice to the parties.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This agreement does not rely on any savings or reformation clause that asks a court to redraft an indivisible overbroad covenant into a narrower one, and it does not purport to obligate any court to narrow, blue-pencil, or reform any covenant. Each covenant here is instead drawn within the enforceable scope Maryland law permits at the outset and structured in severable tiers rather than as a single aggressive term paired with a plea for reformation.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survival period is stated per covenant so that every clock is independently checkable — perpetual for Trade Secrets, finite elsewhere.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assignment of this agreement does not remove Employee from any worker class for which Md. Code, Lab. &amp; Empl. § 3-716 makes a noncompete void or subject to the § 3-716(b) cap, and an assignee takes any covenant subject to the same statutory limits.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Maryland-based worker the parties select Maryland law and a Maryland forum for disputes over the enforceability of the restrictive covenants;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