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mid_employment_consideration}</w:t>
            </w:r>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{mid_employment_consideration}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North Carolina covenant may protect, namely Employer's Confidential Information, Employer's trade secrets as defined by the North Carolina Trade Secrets Protection Act (N.C. Gen. Stat. § 66-152), and Employer's goodwill in its existing customer, vendor, referral-source, and business-partner relationships, but not Employer's interest in avoiding ordinary competition. A restraint can be reasonably necessary to protect these interests only where Employee, as a result of employment, acquired intimate knowledge of the nature and character of the business not otherwise generally available to the public.</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North Carolina Trade Secrets Protection Act, N.C. Gen. Stat. § 66-152(3).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North Carolina has no general non-compete statute; each covenant is a partial restraint of trade, and the parties intend each to be supported by valuable consideration, reasonable as to time and territory, tied to a legitimate business interest, and not directed at ordinary competition. The parties intend each covenant to guard Employer's Confidential Information, trade secrets, and existing customer goodwill and not to eliminate ordinary competition.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and identify what that consideration is. If this agreement is signed at the outset of employment, the offer and commencement of employment is itself valuable consideration for the covenants and no separate payment is required. If Employee is an existing employee and signs after the employment relationship already exists, the parties agree that continued at-will employment is not sufficient consideration and that the covenants are instead supported by the new consideration stated in Cover Terms under Mid-Employment Consideration — such as a raise in pay, a new job assignment, or a stated payment — which the parties acknowledge actually moves. Employee acknowledges having had the opportunity to consult with independent legal counsel before signing this agreement. Employee acknowledges that valuable consideration establishes only that the covenants are supported, not that they are reasonable, and that each covenant must independently satisfy North Carolina's reasonableness requirements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in this agreement limits Employee's right to do business and is therefore unenforceable unless it is in writing and duly signed by Employee, the party who agrees not to compete (N.C. Gen. Stat. § 75-4). The parties intend Employee's signature on the Signature Page to satisfy that statutory requirement for every restraint covenant in this agreement, and acknowledge that there is no oral, implied, or course-of-conduct substitute for it. Any amendment that changes the scope of a covenant must likewise be in a writing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operates alongside, and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N.C. Gen. Stat. § 66-152(3).</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does not reach prospective clients Employer never obtained. This covenant maps directly onto Employer's goodwill in its existing customer relationships and operates together with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whether Employee or the Covered Customer first initiated contact. This restriction is broader than non-solicitation because it applies even if the Covered Customer approaches Employee. This covenant is a partial restraint sized at least as tightly as the customer non-solicitation beside it and reaches only existing Covered Customers.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The parties intend this covenant to be confined to the duties Employee actually performed and not to bar future work distinct from those duties, and to claim no territory beyond what protects Employer's interest in maintaining its existing customers. If Employer has identified specific competitors in Cover Terms under Specified Competitors, the parties intend this covenant to be understood and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partial restraint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uses a narrow radius and a short term, preserves patient access and continuity of care, and is enforced only to the extent applicable North Carolina public-policy limits permit. Nothing in this agreement enlarges such a covenant beyond what those limits allow.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such extension is itself a restraint that must remain reasonable and bounded,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North Carolina Trade Secrets Protection Act, N.C. Gen. Stat. § 66-154,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This agreement does not rely on any reformation or savings clause to cure overbreadth, and none is intended to authorize judicial revision. Each restrictive covenant is drafted as a distinctly severable, reasonable unit — with time, territory, and activity scope separately stated so that each is reasonable standing alone (tiered territories, stepped durations, and separately stated restraints where used) — so that if a court strikes a distinctly separable unreasonable term, the remaining divisible and reasonable portions stay in full force and effect. A court's refusal to enforce one covenant, or its decision to enforce only a distinctly separable reasonable portion,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Each covenant states its own survival so that its duration is independently determinable.</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covenant entered into in North Carolina, this agreement does not require the prosecution of any action or the arbitration of any dispute arising from the agreement to be instituted or heard in another state, and disputes arising from such a covenant will be resolved in the courts of North Carolina as N.C. Gen. Stat. § 22B-3 requires,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as required by N.C. Gen. Stat. § 75-4.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