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 Information and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[List of prior inventions excluded from assignment, or None]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Employee develops entirely on personal time without using company equipment, supplies, facilities, or trade secret information are excluded, except for inventions that either (a) relate to company business or its actual or demonstrably anticipated research or development, or (b) result from work performed for the company.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Other Confidential Information Duration</w:t>
            </w:r>
          </w:p>
        </w:tc>
        <w:tc>
          <w:tcPr>
            <w:tcW w:w="6480" w:type="dxa"/>
            <w:tcMar>
              <w:top w:w="60" w:type="dxa"/>
              <w:left w:w="0" w:type="dxa"/>
              <w:bottom w:w="60" w:type="dxa"/>
              <w:right w:w="0" w:type="dxa"/>
            </w:tcMar>
          </w:tcPr>
          <w:p>
            <w:r>
              <w:rPr>
                <w:rFonts w:ascii="Arial" w:hAnsi="Arial" w:cs="Arial"/>
                <w:color w:val="1D2021"/>
                <w:sz w:val="22"/>
                <w:szCs w:val="22"/>
              </w:rPr>
              <w:t xml:space="preserve">For as long as the information remains confidential, and, where applicable law requires a fixed period, two years after employment ends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of Company that Employee learns, accesses, or develops during employment, including business strategies, customer and prospect data, trade secrets, source code, algorithms, security credentials, technical and product information, financial information, personnel information. Confidential Information also includes non-public information of another person or entity that Employee learns or accesses during employment and that Company has agreed to treat as confidential or that was entrusted to Company in confidence.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at the time of conception or reduction to practice,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Each obligation in this agreement continues after employment ends for as long as its own stated term provides. Any provision that by its nature should outlast employment survives the end of employment, and rights that arose during employment remain enforceable after it ends. After employment ends, confidentiality obligations relating to Confidential Information other than trade secrets survive for the Other Confidential Information Duration specified in Cover Terms.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 Information and Invention Assignment Agreement (CIIAA) (v0.5.0).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 Information and Invention Assignment Agreement (CIIAA) (v0.5.0).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 Information and Invention Assignment Agreement (CIIAA) (v0.5.0).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 Information and Invention Assignment Agreement (CIIAA)</dc:title>
  <dcterms:created xsi:type="dcterms:W3CDTF">2024-01-01T00:00:00Z</dcterms:created>
  <dcterms:modified xsi:type="dcterms:W3CDTF">2024-01-01T00:00:00Z</dcterms:modified>
</cp:coreProperties>
</file>