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UNANIMOUS WRITTEN CONSENT OF THE BOARD OF DIRECTORS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pStyle w:val="OAClauseHeading"/>
      </w:pPr>
      <w:r>
        <w:rPr>
          <w:rFonts w:ascii="Times New Roman" w:cs="Times New Roman" w:eastAsia="Times New Roman" w:hAnsi="Times New Roman"/>
          <w:b/>
          <w:bCs/>
          <w:color w:val="1D2021"/>
          <w:sz w:val="22"/>
          <w:szCs w:val="22"/>
          <w:u w:val="single" w:color="1D2021"/>
        </w:rPr>
        <w:t xml:space="preserve">Recitals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${purchase_amount}, in accordance with terms set forth therein.</w:t>
      </w:r>
    </w:p>
    <w:p>
      <w:pPr>
        <w:pStyle w:val="OAClauseHeading"/>
      </w:pPr>
      <w:r>
        <w:rPr>
          <w:rFonts w:ascii="Times New Roman" w:cs="Times New Roman" w:eastAsia="Times New Roman" w:hAnsi="Times New Roman"/>
          <w:b/>
          <w:bCs/>
          <w:color w:val="1D2021"/>
          <w:sz w:val="22"/>
          <w:szCs w:val="22"/>
          <w:u w:val="single" w:color="1D2021"/>
        </w:rPr>
        <w:t xml:space="preserve">Resolutions</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Board,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shares of the Company's capital stock issuable upon conversion of each SAFE be, and they hereby are, reserved for issuance upon conversion of such SAFE in accordance with its terms;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when shares of the Company's capital stock are issued upon conversion of any SAFE in accordance with its terms, such shares shall be duly and validly issued, fully paid and nonassessable;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OAClauseHeading"/>
      </w:pPr>
      <w:r>
        <w:rPr>
          <w:rFonts w:ascii="Times New Roman" w:cs="Times New Roman" w:eastAsia="Times New Roman" w:hAnsi="Times New Roman"/>
          <w:b/>
          <w:bCs/>
          <w:color w:val="1D2021"/>
          <w:sz w:val="22"/>
          <w:szCs w:val="22"/>
          <w:u w:val="single" w:color="1D2021"/>
        </w:rPr>
        <w:t xml:space="preserve">Signatures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Board of Directors of the Company.</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member IN board_members}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{$member.name}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member}</w:t>
      </w:r>
    </w:p>
    <w:sectPr>
      <w:footerReference w:type="default" r:id="rId8"/>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theme" Target="theme/theme1.xml"/><Relationship Id="rId11"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2026-07-01T13:39:52.445Z</dcterms:created>
  <dcterms:modified xsi:type="dcterms:W3CDTF">2026-07-01T13:39:52.446Z</dcterms:modified>
</cp:coreProperties>
</file>

<file path=docProps/custom.xml><?xml version="1.0" encoding="utf-8"?>
<Properties xmlns="http://schemas.openxmlformats.org/officeDocument/2006/custom-properties" xmlns:vt="http://schemas.openxmlformats.org/officeDocument/2006/docPropsVTypes"/>
</file>