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Employer Parent Entity</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Operating / Service-Recipient Affiliate</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Florida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Covered Employee Garden Leave (CHOICE Act)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Garden Leave Notice Period</w:t>
            </w:r>
          </w:p>
        </w:tc>
        <w:tc>
          <w:tcPr>
            <w:tcW w:w="6480" w:type="dxa"/>
            <w:tcMar>
              <w:top w:w="60" w:type="dxa"/>
              <w:left w:w="0" w:type="dxa"/>
              <w:bottom w:w="60" w:type="dxa"/>
              <w:right w:w="0" w:type="dxa"/>
            </w:tcMar>
          </w:tcPr>
          <w:p>
            <w:r>
              <w:rPr>
                <w:rFonts w:ascii="Arial" w:hAnsi="Arial" w:cs="Arial"/>
                <w:i/>
                <w:iCs/>
                <w:color w:val="494A4B"/>
                <w:sz w:val="21"/>
                <w:szCs w:val="21"/>
              </w:rPr>
              <w:t xml:space="preserve">6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“Affiliates”</w:t>
      </w:r>
      <w: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patients, clients,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“Legitimate Business Interests”</w:t>
      </w:r>
      <w: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customer, patient, and business-partner relationships, customer and patient goodwill, workforce stability, and any extraordinary or specialized training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Florida Uniform Trade Secrets Act, Fla. Stat. § 688.002.</w:t>
      </w:r>
    </w:p>
    <w:p>
      <w:pPr>
        <w:pStyle w:val="OABody"/>
        <w:keepNext/>
        <w:numPr>
          <w:ilvl w:val="0"/>
          <w:numId w:val="1"/>
        </w:numPr>
        <w:spacing w:before="320" w:after="120" w:line="340" w:lineRule="auto"/>
        <w:jc w:val="left"/>
      </w:pPr>
      <w:r>
        <w:rPr>
          <w:b/>
          <w:bCs/>
        </w:rPr>
        <w:t xml:space="preserve">Recitals and Legitimate Business Interest</w:t>
      </w:r>
    </w:p>
    <w:p>
      <w:pPr>
        <w:pStyle w:val="OABody"/>
        <w:spacing w:before="0" w:after="120" w:line="340" w:lineRule="auto"/>
        <w:ind w:left="720"/>
      </w:pPr>
      <w:r>
        <w:t xml:space="preserve">Employer and Employee acknowledge and agree that the restrictive covenants in this agreement are supported by, and reasonably necessary to protect, one or more of Employer's Legitimate Business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Florida law, including the Florida Uniform Trade Secrets Act, Fla. Stat. §§ 688.001–688.009.</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Patients,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intended to protect Employer's substantial relationships with specific prospective or existing customers, patients, or clients and the associated goodwill, which are Legitimate Business Interests under Fla. Stat. § 542.335(1)(b).</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intended to protect Employer's substantial relationships with specific prospective or existing customers, patients, or clients and the associated goodwill, which are Legitimate Business Interests under Fla. Stat. § 542.335(1)(b).</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reasonably necessary to protect Employer's Legitimate Business Interests under Fla. Stat. § 542.335(1)(b), and its duration is intended to fall within the presumptively reasonable window under Fla. Stat. § 542.335(1)(d)–(e) for the applicable relationship.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Physician-Specific Rights and Notices</w:t>
      </w:r>
    </w:p>
    <w:p>
      <w:pPr>
        <w:pStyle w:val="OABody"/>
        <w:spacing w:before="0" w:after="120" w:line="340" w:lineRule="auto"/>
        <w:ind w:left="720"/>
      </w:pPr>
      <w:r>
        <w:t xml:space="preserve">If Employee is a physician licensed under chapter 458 or chapter 459 of the Florida Statutes, then notwithstanding any other provision of this agreement, the non-compete restrictions in this agreement do not apply, and are void and unenforceable, to the extent that Fla. Stat. § 542.336 so provides. Under Fla. Stat. § 542.336, a restrictive covenant is void and unenforceable against such a physician who practices a medical specialty in a county where one entity (directly or through one or more related or affiliated entities) employs or contracts with all physicians who practice that specialty in that county, and the covenant remains void for three years after a second entity that employs or contracts with one or more physicians who practice that specialty begins offering that specialty in that county. Nothing in this agreement may be construed to restrict a physician Employee in violation of Fla. Stat. § 542.336.</w:t>
      </w:r>
    </w:p>
    <w:p>
      <w:pPr>
        <w:pStyle w:val="OABody"/>
        <w:keepNext/>
        <w:numPr>
          <w:ilvl w:val="0"/>
          <w:numId w:val="1"/>
        </w:numPr>
        <w:spacing w:before="320" w:after="120" w:line="340" w:lineRule="auto"/>
        <w:jc w:val="left"/>
      </w:pPr>
      <w:r>
        <w:rPr>
          <w:b/>
          <w:bCs/>
        </w:rPr>
        <w:t xml:space="preserve">CHOICE Act Counsel Advisal and Notice (Covered Employee)</w:t>
      </w:r>
    </w:p>
    <w:p>
      <w:pPr>
        <w:pStyle w:val="OABody"/>
        <w:spacing w:before="0" w:after="120" w:line="340" w:lineRule="auto"/>
        <w:ind w:left="720"/>
      </w:pPr>
      <w: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Body"/>
        <w:keepNext/>
        <w:numPr>
          <w:ilvl w:val="0"/>
          <w:numId w:val="1"/>
        </w:numPr>
        <w:spacing w:before="320" w:after="120" w:line="340" w:lineRule="auto"/>
        <w:jc w:val="left"/>
      </w:pPr>
      <w:r>
        <w:rPr>
          <w:b/>
          <w:bCs/>
        </w:rPr>
        <w:t xml:space="preserve">CHOICE Act Confidential Information Acknowledgement (Covered Employee)</w:t>
      </w:r>
    </w:p>
    <w:p>
      <w:pPr>
        <w:pStyle w:val="OABody"/>
        <w:spacing w:before="0" w:after="120" w:line="340" w:lineRule="auto"/>
        <w:ind w:left="720"/>
      </w:pPr>
      <w:r>
        <w:t xml:space="preserve">Employee is a covered employee under the Florida Contracts Honoring Opportunity, Investment, Confidentiality, and Economic Growth (CHOICE) Act, Fla. Stat. §§ 542.41–542.45. 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Legitimate Business Interests above.</w:t>
      </w:r>
    </w:p>
    <w:p>
      <w:pPr>
        <w:pStyle w:val="OABody"/>
        <w:keepNext/>
        <w:numPr>
          <w:ilvl w:val="0"/>
          <w:numId w:val="1"/>
        </w:numPr>
        <w:spacing w:before="320" w:after="120" w:line="340" w:lineRule="auto"/>
        <w:jc w:val="left"/>
      </w:pPr>
      <w:r>
        <w:rPr>
          <w:b/>
          <w:bCs/>
        </w:rPr>
        <w:t xml:space="preserve">CHOICE Act Garden Leave and Day-for-Day Offset (Covered Employee)</w:t>
      </w:r>
    </w:p>
    <w:p>
      <w:pPr>
        <w:pStyle w:val="OABody"/>
        <w:spacing w:before="0" w:after="120" w:line="340" w:lineRule="auto"/>
        <w:ind w:left="720"/>
      </w:pPr>
      <w:r>
        <w:t xml:space="preserve">This agreement includes a covered garden leave agreement within the meaning of Fla. Stat. § 542.43(5), under which Employer and Employee agree to a garden-leave notice period of </w:t>
      </w:r>
      <w:r>
        <w:rPr>
          <w:b w:val="0"/>
          <w:bCs w:val="0"/>
        </w:rPr>
        <w:t xml:space="preserve">6 months</w:t>
      </w:r>
      <w:r>
        <w:t xml:space="preserve"> before the termination of employment, which may not exceed four years (Fla. Stat. § 542.43(5)). The non-compete Restricted Period is reduced day-for-day by any nonworking portion of the garden-leave notice period, pursuant to Fla. Stat. § 542.45(2)(c). After the first 90 days of the notice period, Employee need not provide services to Employer and may engage in nonwork activities during the remainder of the notice period; Employee may work for another employer during the remainder of the notice period only with Employer's permission, as provided in Fla. Stat. § 542.44(2)(c). The counsel-advisal, seven-day-notice, and written confidential-information-acknowledgement requirements of Fla. Stat. § 542.44(2)–(3) apply to this garden leave agreement; the corresponding provisions of this agreement (the CHOICE Act Counsel Advisal and Notice provision, if included, and the CHOICE Act Confidential Information Acknowledgement provision) are intended to address them.</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The parties agree that the violation of an enforceable restrictive covenant creates a presumption of irreparable injury under Fla. Stat. § 542.335(1)(j), and Employer may seek injunctive or other equitable relief in addition to any other remedies available at law. For a covered-employee non-compete enforceable under the CHOICE Act, a court must, on Employer's application, preliminarily enjoin Employee from competing during the noncompete period, dissolvable only by Employee's clear and convincing evidence as provided in Fla. Stat. § 542.45(5).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Consistent with Fla. Stat. § 542.335(1)(c), if a court finds that any restraint in this agreement is overbroad, overlong, or otherwise not reasonably necessary to protect Employer's Legitimate Business Interests, Employer requests, and the parties agree, that the court shall modify the restraint and grant only the relief reasonably necessary to protect those interests. The parties intend that each restrictive covenant in this agreement be enforced to the fullest extent permitted by Florida law, and that any overbroad or overlong term be judicially modified rather than voided. The parties further acknowledge that, under Fla. Stat. § 542.335(1)(g)1 and (1)(h), a court shall not consider any individualized economic or other hardship to Employee and shall construe this agreement in favor of providing reasonable protection to Employer's Legitimate Business Interests.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as required by Fla. Stat. § 542.335(1)(f)1. This agreement is binding on and inures to the benefit of the parties and their respective heirs, successors, third-party beneficiaries,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Fla. Stat. §§ 542.335 and 542.336 and, where applicable, the CHOICE Act, Fla. Stat. §§ 542.41–542.45.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