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and the compensation-threshold test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separate, signed advance-notice document required by the Colorado Noncompetition Agreement Act. For a prospective worker the notice must precede acceptance of the offer; for a current worker it must be delivered at least 14 days before the earlier of the covenant's effective date or the effective date of the consideration for the covenant.]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Colorado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the protected trade secrets would be exploited</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reasonably necessary to protect that interest.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b w:val="0"/>
          <w:bCs w:val="0"/>
        </w:rPr>
        <w:t xml:space="preserve">$130,014</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