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in its customer, vendor, referral-source, and business-partner relationships,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listed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Employee signs this agreement after employment begins, Employer provides continued employment and any additional value identified in connection with this signing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drawn no broader than reasonable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Employee's right to practice medicine in a particular locale or for a defined period after termination. Employee remains responsible for any agreed damages reasonably related to injury caused by termination, including damages related to competition.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Employee to execute a covenant not to compete with, or pay any fee, charge, or other thing of value to, a supervising licensed home inspector as a condition of satisfying the trainee requirements. This carve-out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nothing in this agreement waives non-waivable restrictions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carrying forward a restrictive covenant must identify the consideration supporting that amendment.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