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 — the date the last party signs. It anchors the durations stated in Cover Terms.]</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Georgia</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For as long as the information remains a trade secret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For as long as the information remains confidential</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geographic areas in which Employer conducts business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and prospective customers with whom Employee had material contact during the </w:t>
      </w:r>
      <w:r>
        <w:rPr>
          <w:b w:val="0"/>
          <w:bCs w:val="0"/>
        </w:rPr>
        <w:t xml:space="preserve">2 years</w:t>
      </w:r>
      <w:r>
        <w:t xml:space="preserve"> before termination of employment, meaning customers Employee dealt with on Employer's behalf, whose dealings with Employer Employee coordinated or supervised, about whom Employee obtained confidential information in the ordinary course of business, or from whom Employee earned compensation, commissions, or earnings.</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24 months</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Trade Secrets, substantial customer relationships, and customer goodwill.</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 if any is stated.</w:t>
      </w:r>
    </w:p>
    <w:p>
      <w:pPr>
        <w:pStyle w:val="OABody"/>
        <w:numPr>
          <w:ilvl w:val="1"/>
          <w:numId w:val="1"/>
        </w:numPr>
        <w:spacing w:before="0" w:after="120" w:line="340" w:lineRule="auto"/>
      </w:pPr>
      <w:r>
        <w:rPr>
          <w:b/>
          <w:bCs/>
          <w:color w:val="117086"/>
        </w:rPr>
        <w:t xml:space="preserve">“Solicit”</w:t>
      </w:r>
      <w:r>
        <w:t xml:space="preserve"> means to directly or indirectly, or by assisting others, solicit or attempt to solicit business, including actively seeking prospective customers,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derives independent economic value from not being generally known and is the subject of reasonable efforts to maintain its secrecy.</w:t>
      </w:r>
    </w:p>
    <w:p>
      <w:pPr>
        <w:pStyle w:val="OABody"/>
        <w:keepNext/>
        <w:numPr>
          <w:ilvl w:val="0"/>
          <w:numId w:val="1"/>
        </w:numPr>
        <w:spacing w:before="320" w:after="120" w:line="340" w:lineRule="auto"/>
        <w:jc w:val="left"/>
      </w:pPr>
      <w:r>
        <w:rPr>
          <w:b/>
          <w:bCs/>
        </w:rPr>
        <w:t xml:space="preserve">Recitals, Consideration, and Protected Interests</w:t>
      </w:r>
    </w:p>
    <w:p>
      <w:pPr>
        <w:pStyle w:val="OABody"/>
        <w:spacing w:before="0" w:after="120" w:line="340" w:lineRule="auto"/>
        <w:ind w:left="720"/>
      </w:pPr>
      <w:r>
        <w:t xml:space="preserve">Each covenant is supported by and no broader than necessary to protect Employer's Protected Interests. In consideration for this agreement, Employer provides Employee with </w:t>
      </w:r>
      <w:r>
        <w:rPr>
          <w:b w:val="0"/>
          <w:bCs w:val="0"/>
        </w:rPr>
        <w:t xml:space="preserve">access to Employer's Confidential Information, specialized training, and Employer's customer goodwill and relationships</w:t>
      </w:r>
      <w:r>
        <w:t xml:space="preserve">.</w:t>
      </w:r>
    </w:p>
    <w:p>
      <w:pPr>
        <w:pStyle w:val="OABody"/>
        <w:keepNext/>
        <w:numPr>
          <w:ilvl w:val="0"/>
          <w:numId w:val="1"/>
        </w:numPr>
        <w:spacing w:before="320" w:after="120" w:line="340" w:lineRule="auto"/>
        <w:jc w:val="left"/>
      </w:pPr>
      <w:r>
        <w:rPr>
          <w:b/>
          <w:bCs/>
        </w:rPr>
        <w:t xml:space="preserve">Timing and Employee Acknowledgements</w:t>
      </w:r>
    </w:p>
    <w:p>
      <w:pPr>
        <w:pStyle w:val="OABody"/>
        <w:spacing w:before="0" w:after="120" w:line="340" w:lineRule="auto"/>
        <w:ind w:left="720"/>
      </w:pPr>
      <w:r>
        <w:t xml:space="preserve">Employee acknowledges that the restrictions in this agreement are reasonable and necessary to protect Employer's Protected Interests. Employee acknowledges having had the opportunity to consult with independent legal counsel before signing this agreement.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trade-secret obligations continue while the information remains a trade secret. Other confidentiality obligations continue for the duration specified in Cover Terms and end when the information is no longer confidential. This obligation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making disclosures required by law, court order, or a government investigation; or (e) filing a sealed complaint in court using Confidential Information without liability. Pursuant to the Defend Trade Secrets Act (18 U.S.C. § 1833(b)), Employee may not be held criminally or civilly liable under any federal or state trade-secret law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pPr>
        <w:pStyle w:val="OABody"/>
        <w:keepNext/>
        <w:numPr>
          <w:ilvl w:val="0"/>
          <w:numId w:val="1"/>
        </w:numPr>
        <w:spacing w:before="320" w:after="120" w:line="340" w:lineRule="auto"/>
        <w:jc w:val="left"/>
      </w:pPr>
      <w:r>
        <w:rPr>
          <w:b/>
          <w:bCs/>
        </w:rPr>
        <w:t xml:space="preserve">Non-Solicitation of Customers</w:t>
      </w:r>
    </w:p>
    <w:p>
      <w:pPr>
        <w:pStyle w:val="OABody"/>
        <w:spacing w:before="0" w:after="120" w:line="340" w:lineRule="auto"/>
        <w:ind w:left="720"/>
      </w:pPr>
      <w:r>
        <w:t xml:space="preserve">During the Restricted Period, Employee must not Solicit the business of any Covered Customer for purposes of providing products or services that are competitive with those provided by Employer's business.</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Employee's covered function is: </w:t>
      </w:r>
      <w:r>
        <w:rPr>
          <w:b w:val="0"/>
          <w:bCs w:val="0"/>
        </w:rPr>
        <w:t xml:space="preserve">Employee is a key employee or a professional, or in the course of employment customarily and regularly solicits customers or prospective customers, makes sales, or performs the managerial duties described in O.C.G.A. § 13-8-53(a).</w:t>
      </w:r>
      <w:r>
        <w:t xml:space="preserve">.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Section 7 of the National Labor Relations Act.</w:t>
      </w:r>
    </w:p>
    <w:p>
      <w:pPr>
        <w:pStyle w:val="OABody"/>
        <w:keepNext/>
        <w:numPr>
          <w:ilvl w:val="0"/>
          <w:numId w:val="1"/>
        </w:numPr>
        <w:spacing w:before="320" w:after="120" w:line="340" w:lineRule="auto"/>
        <w:jc w:val="left"/>
      </w:pPr>
      <w:r>
        <w:rPr>
          <w:b/>
          <w:bCs/>
        </w:rPr>
        <w:t xml:space="preserve">Physician and Health Care Practitioner Covenants</w:t>
      </w:r>
    </w:p>
    <w:p>
      <w:pPr>
        <w:pStyle w:val="OABody"/>
        <w:spacing w:before="0" w:after="120" w:line="340" w:lineRule="auto"/>
        <w:ind w:left="720"/>
      </w:pPr>
      <w:r>
        <w:t xml:space="preserve">The restrictive covenants apply to a physician or other health care practitioner only if the covered function identified in Cover Terms applies to Employee.</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 Employer will limit any such disclosure to factual statements about the covenants in this agreement.</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Each Restricted Period begins when Employee's employment ends and expires on its stated end date, notwithstanding any breach.</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temporary and permanent injunctive relief and any other appropriate and effective remedy available at law or equity, including relief available under applicable trade-secret law to prevent actual or threatened misappropriation of trade secrets. Injunctive relief runs only through the covenant's stated Restricted Period.</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 Each restrictive covenant in this agreement is intended to be independently enforceable.</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as long as the information remains confidential or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that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(Georgia)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(Georgia)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(Georgia)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