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Iowa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including Employee's close proximity to customers and access to information peculiar to Employer's business, but not Employer's interest in avoiding ordinary competition or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The covenants do not preclude Employee from using the general skill and knowledge Employee acquired on the job.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through experience or instruction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Where Employee is a licensed mental health professional, this covenant does not restrict Employee from contacting for professional services a person Employee previously treated.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Where Employee is an independent contractor, this covenant does not require Employee to forsake customers Employee brought to the relationship.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If Employee is a licensed mental health professional, this agreement does not limit the location at which Employee may practice, prohibit Employee from contacting for professional services a person Employee previously treated, or impose a time restriction on Employee's practice. If Employer is a health-care employment agency and Employee is an agency worker, this agreement does not restrict Employee's employment opportunities or require Employee to pay liquidated damages, employment fees, or other compensation if Employee is later hired by a health care entity. If Employer is the University of Iowa Hospitals and Clinics and Employee is an advanced registered nurse practitioner, licensed practical nurse, pharmacist, physician, physician assistant, or registered nurse, the non-competition covenant does not apply.</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