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North Carolina</w:t>
            </w:r>
          </w:p>
        </w:tc>
      </w:tr>
      <w:tr>
        <w:tc>
          <w:tcPr>
            <w:tcW w:w="3600" w:type="dxa"/>
            <w:tcMar>
              <w:top w:w="60" w:type="dxa"/>
              <w:left w:w="0" w:type="dxa"/>
              <w:bottom w:w="60" w:type="dxa"/>
              <w:right w:w="0" w:type="dxa"/>
            </w:tcMar>
          </w:tcPr>
          <w:p>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 and built customer relationships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 defined by reference to the duties the employee actually performed rather than every line of the employer's business.]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1D2021"/>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existing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is supported by valuable consideration and protects Employer's Protected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If this agreement is signed at the outset of employment, the offer and commencement of employment is the consideration for the covenants. If Employee signs after employment has begun, the new consideration stated in Cover Terms under Mid-Employment Consideration is exchanged for the covenants.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and any amendment changing its scope must be in writing and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This covenant does not reach prospective clients Employer never obtained.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The parties intend this covenant to be confined to the duties Employee actually performed and not to bar future work distinct from those duties, and to claim no territory beyond what protects Employer's interest in maintaining its existing customers. If Employer has identified specific competitors in Cover Terms under Specified Competitors, the parties intend this covenant to be understood and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distinctly severable provision is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 states its own survival so that its duration is independently determinable.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Carolina law governs this agreement, and the state and federal courts located in North Carolina have exclusive jurisdiction over disputes arising from it, subject to non-waivable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