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Timing and Consideration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Signed After Employment Began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{signed_after_employment_began}</w:t>
            </w:r>
          </w:p>
        </w:tc>
      </w:tr>
      <w:tr>
        <w:tc>
          <w:tcPr>
            <w:tcW w:w="3600" w:type="dxa"/>
            <w:tcMar>
              <w:top w:w="60" w:type="dxa"/>
              <w:left w:w="345" w:type="dxa"/>
              <w:bottom w:w="60" w:type="dxa"/>
              <w:right w:w="0" w:type="dxa"/>
            </w:tcMar>
          </w:tcPr>
          <w:p>
            <w:r>
              <w:t xml:space="preserve">{IF signed_after_employment_began}</w:t>
            </w:r>
            <w:r>
              <w:rPr>
                <w:rFonts w:ascii="Arial" w:hAnsi="Arial" w:cs="Arial"/>
                <w:i/>
                <w:iCs/>
                <w:color w:val="1D2021"/>
                <w:sz w:val="21"/>
                <w:szCs w:val="21"/>
              </w:rPr>
              <w:t xml:space="preserve">Separate Consideration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{separate_consideration}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 (Step-Down Alternative)</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 (Step-Down Alternative)</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{territory_stepdown}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ending on its stated end date without extension.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and, as an alternative narrower restriction the parties agree is separately enforceable on its own terms, the area described in Cover Terms under Restricted Territory (Step-Down Alternative).</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protected as a trade secret under the South Carolina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the Protected Interests absent the protections in this agreement. Employee acknowledges that each covenant is necessary to protect Employer's Protected Interests and is supported by valuable consideration.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and is supported by valuable consideration. If this agreement is signed at the outset of employment, the offer and commencement of employment is the consideration for the covenants in it. If, as indicated in Cover Terms under Signed After Employment Began, this agreement is entered into after Employee's employment has already begun, the separate consideration described in Cover Terms under Separate Consideration — such as a raise, bonus, promotion, or change in status — is provided in addition to continued employment specifically in exchange for these covenants.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and in any event for as long as the information remains a trade secret. Employee's obligations regarding other Confidential Information continue only for the finite period specified in Cover Terms under Other Confidential Information Duration. This section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any disclosure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or induce any Covered Employee to breach or terminate an employment relationship with Employer. This restriction does not prohibit Employee from providing a professional reference upon request, from hiring a person who responds to a general advertisement not directed specifically at Employer's employees, or from seeking or accepting the services of a person where Employee has not interfered with that person's employment relationship with Employer.</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with respect to customers, vendors, referral sources, or business partners Employee never serviced or contacted.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numPr>
          <w:ilvl w:val="1"/>
          <w:numId w:val="1"/>
        </w:numPr>
        <w:spacing w:before="0" w:after="120" w:line="340" w:lineRule="auto"/>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Passive Public Holdings are permitted.</w:t>
      </w:r>
    </w:p>
    <w:p>
      <w:pPr>
        <w:pStyle w:val="OABody"/>
        <w:numPr>
          <w:ilvl w:val="1"/>
          <w:numId w:val="1"/>
        </w:numPr>
        <w:spacing w:before="0" w:after="120" w:line="340" w:lineRule="auto"/>
      </w:pPr>
      <w:r>
        <w:t xml:space="preserve">The duration and territory for this covenant are the primary Duration and Restricted Territory stated in Cover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with a former employer.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No Extension of the Restricted Period</w:t>
      </w:r>
    </w:p>
    <w:p>
      <w:pPr>
        <w:pStyle w:val="OABody"/>
        <w:spacing w:before="0" w:after="120" w:line="340" w:lineRule="auto"/>
        <w:ind w:left="720"/>
      </w:pPr>
      <w:r>
        <w:t xml:space="preserve">Each Restricted Period is a fixed, definite term that runs from the date Employee's employment ends and expires on its stated end date. No Restricted Period is extended or tolled by any period of breach, dispute, or litigation.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statutory remedies for trade-secret misappropriation.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The covenants in this agreement are given in connection with Employee's employment. Any covenant given in connection with a sale of a business is outside the scope of this agreement and is to be set out in the transaction documents for that sale.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expires on its own stated end date. Each covenant is self-contained and is read and enforced on its own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(South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