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Confidential Information, Trade Secrets,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In exchange for Employee's covenants in this agreement, Employer agrees to provide Employee with Confidential Information, specialized training, and access to Employer's goodwill and customer relationships. Employee acknowledges that the covenants protect Employer's Protected Interests.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It reaches only Covered Customers with whom Employee had material contact and is no broader than necessary to protect Employer's goodwill.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practices medicine and this agreement contains a covenant not to compete relating to that practice, Employer will provide Employee access to a list of patients whom Employee saw or treated within one year before termination and, on reasonable terms and with patient authorization, access to and copies of those patients' medical records. Employee may continue caring for a patient during an acute illness after employment ends. Employee may buy out the covenant at a reasonable price or, at Employee's election, at a price determined by a mutually agreed arbitrator, not exceeding Employee's total annual salary and wages at termination. The covenant expires no later than one year after termination and applies within no more than five miles of the location where Employee primarily practiced.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to prevent actual or threatened misappropriation of trade secrets.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Texas law governs this agreement for an Employee who lives and works in Texas.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