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14="http://schemas.microsoft.com/office/word/2010/wordml">
  <w:body>
    <w:p>
      <w:pPr>
        <w:pStyle w:val="OATitle"/>
      </w:pPr>
      <w:r>
        <w:t xml:space="preserve">Employee Restrictive Covenant Agreement</w:t>
      </w:r>
    </w:p>
    <w:p>
      <w:pPr>
        <w:pStyle w:val="OASectionHeading"/>
      </w:pPr>
      <w:r>
        <w:t xml:space="preserve">Cover Terms</w:t>
      </w:r>
    </w:p>
    <w:p>
      <w:pPr>
        <w:pStyle w:val="OABody"/>
      </w:pPr>
      <w:r>
        <w:t xml:space="preserve">The terms below are incorporated into and form part of this agreement.</w:t>
      </w:r>
    </w:p>
    <w:tbl>
      <w:tblPr>
        <w:tblW w:w="10080" w:type="dxa"/>
        <w:tblBorders>
          <w:top w:val="single" w:sz="4" w:space="0" w:color="C7C7C7"/>
          <w:left w:val="none" w:sz="0" w:space="0" w:color="auto"/>
          <w:bottom w:val="single" w:sz="4" w:space="0" w:color="C7C7C7"/>
          <w:right w:val="none" w:sz="0" w:space="0" w:color="auto"/>
          <w:insideH w:val="single" w:sz="4" w:space="0" w:color="C7C7C7"/>
          <w:insideV w:val="none" w:sz="0" w:space="0" w:color="auto"/>
        </w:tblBorders>
        <w:tblLayout w:type="fixed"/>
      </w:tblPr>
      <w:tblGrid>
        <w:gridCol w:w="3600"/>
        <w:gridCol w:w="6480"/>
      </w:tblGrid>
      <w:tr>
        <w:tc>
          <w:tcPr>
            <w:tcW w:w="3600" w:type="dxa"/>
            <w:tcMar>
              <w:top w:w="60" w:type="dxa"/>
              <w:left w:w="0" w:type="dxa"/>
              <w:bottom w:w="60" w:type="dxa"/>
              <w:right w:w="0" w:type="dxa"/>
            </w:tcMar>
          </w:tcPr>
          <w:p>
            <w:r>
              <w:rPr>
                <w:rFonts w:ascii="Arial" w:hAnsi="Arial" w:cs="Arial"/>
                <w:b/>
                <w:bCs/>
                <w:color w:val="1D2021"/>
                <w:sz w:val="22"/>
                <w:szCs w:val="22"/>
              </w:rPr>
              <w:t xml:space="preserve">Employer</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[Legal name of the employer]</w:t>
            </w:r>
          </w:p>
        </w:tc>
      </w:tr>
      <w:tr>
        <w:tc>
          <w:tcPr>
            <w:tcW w:w="3600" w:type="dxa"/>
            <w:tcMar>
              <w:top w:w="60" w:type="dxa"/>
              <w:left w:w="0" w:type="dxa"/>
              <w:bottom w:w="60" w:type="dxa"/>
              <w:right w:w="0" w:type="dxa"/>
            </w:tcMar>
          </w:tcPr>
          <w:p>
            <w:r>
              <w:rPr>
                <w:rFonts w:ascii="Arial" w:hAnsi="Arial" w:cs="Arial"/>
                <w:b/>
                <w:bCs/>
                <w:color w:val="1D2021"/>
                <w:sz w:val="22"/>
                <w:szCs w:val="22"/>
              </w:rPr>
              <w:t xml:space="preserve">Employee</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[Full legal name of the employee]</w:t>
            </w:r>
          </w:p>
        </w:tc>
      </w:tr>
      <w:tr>
        <w:tc>
          <w:tcPr>
            <w:tcW w:w="3600" w:type="dxa"/>
            <w:tcMar>
              <w:top w:w="60" w:type="dxa"/>
              <w:left w:w="0" w:type="dxa"/>
              <w:bottom w:w="60" w:type="dxa"/>
              <w:right w:w="0" w:type="dxa"/>
            </w:tcMar>
          </w:tcPr>
          <w:p>
            <w:r>
              <w:rPr>
                <w:rFonts w:ascii="Arial" w:hAnsi="Arial" w:cs="Arial"/>
                <w:b/>
                <w:bCs/>
                <w:color w:val="1D2021"/>
                <w:sz w:val="22"/>
                <w:szCs w:val="22"/>
              </w:rPr>
              <w:t xml:space="preserve">Employee Title / Position</w:t>
            </w:r>
          </w:p>
        </w:tc>
        <w:tc>
          <w:tcPr>
            <w:tcW w:w="6480" w:type="dxa"/>
            <w:tcMar>
              <w:top w:w="60" w:type="dxa"/>
              <w:left w:w="0" w:type="dxa"/>
              <w:bottom w:w="60" w:type="dxa"/>
              <w:right w:w="0" w:type="dxa"/>
            </w:tcMar>
          </w:tcPr>
          <w:p>
            <w:r>
              <w:rPr>
                <w:rFonts w:ascii="Arial" w:hAnsi="Arial" w:cs="Arial"/>
                <w:color w:val="1D2021"/>
                <w:sz w:val="22"/>
                <w:szCs w:val="22"/>
              </w:rPr>
              <w:t xml:space="preserve"/>
            </w:r>
          </w:p>
        </w:tc>
      </w:tr>
      <w:tr>
        <w:tc>
          <w:tcPr>
            <w:tcW w:w="3600" w:type="dxa"/>
            <w:tcMar>
              <w:top w:w="60" w:type="dxa"/>
              <w:left w:w="0" w:type="dxa"/>
              <w:bottom w:w="60" w:type="dxa"/>
              <w:right w:w="0" w:type="dxa"/>
            </w:tcMar>
          </w:tcPr>
          <w:p>
            <w:r>
              <w:rPr>
                <w:rFonts w:ascii="Arial" w:hAnsi="Arial" w:cs="Arial"/>
                <w:b/>
                <w:bCs/>
                <w:color w:val="1D2021"/>
                <w:sz w:val="22"/>
                <w:szCs w:val="22"/>
              </w:rPr>
              <w:t xml:space="preserve">Effective Date</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[Effective date of this agreement]</w:t>
            </w:r>
          </w:p>
        </w:tc>
      </w:tr>
      <w:tr>
        <w:tc>
          <w:tcPr>
            <w:tcW w:w="3600" w:type="dxa"/>
            <w:tcMar>
              <w:top w:w="60" w:type="dxa"/>
              <w:left w:w="0" w:type="dxa"/>
              <w:bottom w:w="60" w:type="dxa"/>
              <w:right w:w="0" w:type="dxa"/>
            </w:tcMar>
          </w:tcPr>
          <w:p>
            <w:r>
              <w:rPr>
                <w:rFonts w:ascii="Arial" w:hAnsi="Arial" w:cs="Arial"/>
                <w:b/>
                <w:bCs/>
                <w:color w:val="1D2021"/>
                <w:sz w:val="22"/>
                <w:szCs w:val="22"/>
              </w:rPr>
              <w:t xml:space="preserve">Governing Law</w:t>
            </w:r>
          </w:p>
        </w:tc>
        <w:tc>
          <w:tcPr>
            <w:tcW w:w="6480" w:type="dxa"/>
            <w:tcMar>
              <w:top w:w="60" w:type="dxa"/>
              <w:left w:w="0" w:type="dxa"/>
              <w:bottom w:w="60" w:type="dxa"/>
              <w:right w:w="0" w:type="dxa"/>
            </w:tcMar>
          </w:tcPr>
          <w:p>
            <w:r>
              <w:rPr>
                <w:rFonts w:ascii="Arial" w:hAnsi="Arial" w:cs="Arial"/>
                <w:color w:val="1D2021"/>
                <w:sz w:val="22"/>
                <w:szCs w:val="22"/>
              </w:rPr>
              <w:t xml:space="preserve">West Virginia</w:t>
            </w:r>
          </w:p>
        </w:tc>
      </w:tr>
      <w:tr>
        <w:tc>
          <w:tcPr>
            <w:tcW w:w="3600" w:type="dxa"/>
            <w:tcMar>
              <w:top w:w="60" w:type="dxa"/>
              <w:left w:w="0" w:type="dxa"/>
              <w:bottom w:w="60" w:type="dxa"/>
              <w:right w:w="0" w:type="dxa"/>
            </w:tcMar>
          </w:tcPr>
          <w:p>
            <w:r>
              <w:rPr>
                <w:rFonts w:ascii="Arial" w:hAnsi="Arial" w:cs="Arial"/>
                <w:b/>
                <w:bCs/>
                <w:color w:val="1D2021"/>
                <w:sz w:val="22"/>
                <w:szCs w:val="22"/>
              </w:rPr>
              <w:t xml:space="preserve">New Consideration (if signed after hire)</w:t>
            </w:r>
          </w:p>
        </w:tc>
        <w:tc>
          <w:tcPr>
            <w:tcW w:w="6480" w:type="dxa"/>
            <w:tcMar>
              <w:top w:w="60" w:type="dxa"/>
              <w:left w:w="0" w:type="dxa"/>
              <w:bottom w:w="60" w:type="dxa"/>
              <w:right w:w="0" w:type="dxa"/>
            </w:tcMar>
          </w:tcPr>
          <w:p>
            <w:r>
              <w:rPr>
                <w:rFonts w:ascii="Arial" w:hAnsi="Arial" w:cs="Arial"/>
                <w:color w:val="1D2021"/>
                <w:sz w:val="22"/>
                <w:szCs w:val="22"/>
              </w:rPr>
              <w:t xml:space="preserve"/>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Confidentiality</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Trade Secrets Duration</w:t>
            </w:r>
          </w:p>
        </w:tc>
        <w:tc>
          <w:tcPr>
            <w:tcW w:w="6480" w:type="dxa"/>
            <w:tcMar>
              <w:top w:w="60" w:type="dxa"/>
              <w:left w:w="0" w:type="dxa"/>
              <w:bottom w:w="60" w:type="dxa"/>
              <w:right w:w="0" w:type="dxa"/>
            </w:tcMar>
          </w:tcPr>
          <w:p>
            <w:r>
              <w:rPr>
                <w:rFonts w:ascii="Arial" w:hAnsi="Arial" w:cs="Arial"/>
                <w:i/>
                <w:iCs/>
                <w:color w:val="1D2021"/>
                <w:sz w:val="21"/>
                <w:szCs w:val="21"/>
              </w:rPr>
              <w:t xml:space="preserve">Perpetual</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Other Confidential Information Duration</w:t>
            </w:r>
          </w:p>
        </w:tc>
        <w:tc>
          <w:tcPr>
            <w:tcW w:w="6480" w:type="dxa"/>
            <w:tcMar>
              <w:top w:w="60" w:type="dxa"/>
              <w:left w:w="0" w:type="dxa"/>
              <w:bottom w:w="60" w:type="dxa"/>
              <w:right w:w="0" w:type="dxa"/>
            </w:tcMar>
          </w:tcPr>
          <w:p>
            <w:r>
              <w:rPr>
                <w:rFonts w:ascii="Arial" w:hAnsi="Arial" w:cs="Arial"/>
                <w:i/>
                <w:iCs/>
                <w:color w:val="1D2021"/>
                <w:sz w:val="21"/>
                <w:szCs w:val="21"/>
              </w:rPr>
              <w:t xml:space="preserve">24 months</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Employee Non-Solicitation</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rPr>
              <w:t xml:space="preserve">24 months</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Covered Employee Lookback</w:t>
            </w:r>
          </w:p>
        </w:tc>
        <w:tc>
          <w:tcPr>
            <w:tcW w:w="6480" w:type="dxa"/>
            <w:tcMar>
              <w:top w:w="60" w:type="dxa"/>
              <w:left w:w="0" w:type="dxa"/>
              <w:bottom w:w="60" w:type="dxa"/>
              <w:right w:w="0" w:type="dxa"/>
            </w:tcMar>
          </w:tcPr>
          <w:p>
            <w:r>
              <w:rPr>
                <w:rFonts w:ascii="Arial" w:hAnsi="Arial" w:cs="Arial"/>
                <w:i/>
                <w:iCs/>
                <w:color w:val="1D2021"/>
                <w:sz w:val="21"/>
                <w:szCs w:val="21"/>
              </w:rPr>
              <w:t xml:space="preserve">12 months</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Customer Non-Solicitation</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rPr>
              <w:t xml:space="preserve">12 months</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Covered Customer Lookback</w:t>
            </w:r>
          </w:p>
        </w:tc>
        <w:tc>
          <w:tcPr>
            <w:tcW w:w="6480" w:type="dxa"/>
            <w:tcMar>
              <w:top w:w="60" w:type="dxa"/>
              <w:left w:w="0" w:type="dxa"/>
              <w:bottom w:w="60" w:type="dxa"/>
              <w:right w:w="0" w:type="dxa"/>
            </w:tcMar>
          </w:tcPr>
          <w:p>
            <w:r>
              <w:rPr>
                <w:rFonts w:ascii="Arial" w:hAnsi="Arial" w:cs="Arial"/>
                <w:i/>
                <w:iCs/>
                <w:color w:val="1D2021"/>
                <w:sz w:val="21"/>
                <w:szCs w:val="21"/>
              </w:rPr>
              <w:t xml:space="preserve">12 months</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Non-Competition</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rPr>
              <w:t xml:space="preserve">12 months</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Restricted Territory</w:t>
            </w:r>
          </w:p>
        </w:tc>
        <w:tc>
          <w:tcPr>
            <w:tcW w:w="6480" w:type="dxa"/>
            <w:tcMar>
              <w:top w:w="60" w:type="dxa"/>
              <w:left w:w="0" w:type="dxa"/>
              <w:bottom w:w="60" w:type="dxa"/>
              <w:right w:w="0" w:type="dxa"/>
            </w:tcMar>
          </w:tcPr>
          <w:p>
            <w:r>
              <w:rPr>
                <w:rFonts w:ascii="Arial" w:hAnsi="Arial" w:cs="Arial"/>
                <w:i/>
                <w:iCs/>
                <w:color w:val="1D2021"/>
                <w:sz w:val="21"/>
                <w:szCs w:val="21"/>
              </w:rPr>
              <w:t xml:space="preserve">the geographic area in which Employee provided services</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Competitive Business</w:t>
            </w:r>
          </w:p>
        </w:tc>
        <w:tc>
          <w:tcPr>
            <w:tcW w:w="6480" w:type="dxa"/>
            <w:tcMar>
              <w:top w:w="60" w:type="dxa"/>
              <w:left w:w="0" w:type="dxa"/>
              <w:bottom w:w="60" w:type="dxa"/>
              <w:right w:w="0" w:type="dxa"/>
            </w:tcMar>
          </w:tcPr>
          <w:p>
            <w:r>
              <w:rPr>
                <w:rFonts w:ascii="Arial" w:hAnsi="Arial" w:cs="Arial"/>
                <w:b/>
                <w:bCs/>
                <w:i/>
                <w:iCs/>
                <w:color w:val="1D2021"/>
                <w:sz w:val="21"/>
                <w:szCs w:val="21"/>
                <w:highlight w:val="yellow"/>
              </w:rPr>
              <w:t xml:space="preserve">[Description of the business activities that constitute competition with the employer.]</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Specified Competitors</w:t>
            </w:r>
          </w:p>
        </w:tc>
        <w:tc>
          <w:tcPr>
            <w:tcW w:w="6480" w:type="dxa"/>
            <w:tcMar>
              <w:top w:w="60" w:type="dxa"/>
              <w:left w:w="0" w:type="dxa"/>
              <w:bottom w:w="60" w:type="dxa"/>
              <w:right w:w="0" w:type="dxa"/>
            </w:tcMar>
          </w:tcPr>
          <w:p>
            <w:r>
              <w:rPr>
                <w:rFonts w:ascii="Arial" w:hAnsi="Arial" w:cs="Arial"/>
                <w:i/>
                <w:iCs/>
                <w:color w:val="1D2021"/>
                <w:sz w:val="21"/>
                <w:szCs w:val="21"/>
              </w:rPr>
              <w:t xml:space="preserve"/>
            </w:r>
          </w:p>
        </w:tc>
      </w:tr>
      <w:tr>
        <w:tc>
          <w:tcPr>
            <w:tcW w:w="3600" w:type="dxa"/>
            <w:tcMar>
              <w:top w:w="60" w:type="dxa"/>
              <w:left w:w="345" w:type="dxa"/>
              <w:bottom w:w="60" w:type="dxa"/>
              <w:right w:w="0" w:type="dxa"/>
            </w:tcMar>
          </w:tcPr>
          <w:p>
            <w:r>
              <w:rPr>
                <w:rFonts w:ascii="Arial" w:hAnsi="Arial" w:cs="Arial"/>
                <w:i/>
                <w:iCs/>
                <w:color w:val="1D2021"/>
                <w:sz w:val="21"/>
                <w:szCs w:val="21"/>
              </w:rPr>
              <w:t xml:space="preserve">Sale-of-Business Covenant</w:t>
            </w:r>
          </w:p>
        </w:tc>
        <w:tc>
          <w:tcPr>
            <w:tcW w:w="6480" w:type="dxa"/>
            <w:tcMar>
              <w:top w:w="60" w:type="dxa"/>
              <w:left w:w="0" w:type="dxa"/>
              <w:bottom w:w="60" w:type="dxa"/>
              <w:right w:w="0" w:type="dxa"/>
            </w:tcMar>
          </w:tcPr>
          <w:p>
            <w:r>
              <w:rPr>
                <w:rFonts w:ascii="Arial" w:hAnsi="Arial" w:cs="Arial"/>
                <w:i/>
                <w:iCs/>
                <w:color w:val="1D2021"/>
                <w:sz w:val="21"/>
                <w:szCs w:val="21"/>
              </w:rPr>
              <w:t xml:space="preserve">false</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No Business with Covered Customers</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rPr>
              <w:t xml:space="preserve">12 months</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Non-Investment</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rPr>
              <w:t xml:space="preserve">12 months</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Passive Public Holdings Threshold</w:t>
            </w:r>
          </w:p>
        </w:tc>
        <w:tc>
          <w:tcPr>
            <w:tcW w:w="6480" w:type="dxa"/>
            <w:tcMar>
              <w:top w:w="60" w:type="dxa"/>
              <w:left w:w="0" w:type="dxa"/>
              <w:bottom w:w="60" w:type="dxa"/>
              <w:right w:w="0" w:type="dxa"/>
            </w:tcMar>
          </w:tcPr>
          <w:p>
            <w:r>
              <w:rPr>
                <w:rFonts w:ascii="Arial" w:hAnsi="Arial" w:cs="Arial"/>
                <w:i/>
                <w:iCs/>
                <w:color w:val="1D2021"/>
                <w:sz w:val="21"/>
                <w:szCs w:val="21"/>
              </w:rPr>
              <w:t xml:space="preserve">five percent</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Non-Disparagement</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rPr>
              <w:t xml:space="preserve">24 months</w:t>
            </w:r>
          </w:p>
        </w:tc>
      </w:tr>
    </w:tbl>
    <w:p>
      <w:pPr>
        <w:sectPr>
          <w:headerReference w:type="default" r:id="rId2"/>
          <w:footerReference w:type="default" r:id="rId3"/>
          <w:type w:val="nextPage"/>
          <w:pgSz w:w="12240" w:h="15840"/>
          <w:pgMar w:top="936" w:right="1080" w:bottom="720" w:left="1080" w:header="360" w:footer="432" w:gutter="0"/>
          <w:pgNumType w:start="1" w:fmt="decimal"/>
        </w:sectPr>
      </w:pPr>
    </w:p>
    <w:p>
      <w:pPr>
        <w:pStyle w:val="OASectionHeading"/>
      </w:pPr>
      <w:r>
        <w:t xml:space="preserve">Standard Terms</w:t>
      </w:r>
    </w:p>
    <w:p>
      <w:pPr>
        <w:pStyle w:val="OABody"/>
        <w:keepNext/>
        <w:numPr>
          <w:ilvl w:val="0"/>
          <w:numId w:val="1"/>
        </w:numPr>
        <w:spacing w:before="320" w:after="120" w:line="340" w:lineRule="auto"/>
        <w:jc w:val="left"/>
      </w:pPr>
      <w:r>
        <w:rPr>
          <w:b/>
          <w:bCs/>
        </w:rPr>
        <w:t xml:space="preserve">Defined Terms</w:t>
      </w:r>
    </w:p>
    <w:p>
      <w:pPr>
        <w:pStyle w:val="OABody"/>
        <w:numPr>
          <w:ilvl w:val="1"/>
          <w:numId w:val="1"/>
        </w:numPr>
        <w:spacing w:before="0" w:after="120" w:line="340" w:lineRule="auto"/>
      </w:pPr>
      <w:r>
        <w:rPr>
          <w:b/>
          <w:bCs/>
          <w:color w:val="117086"/>
        </w:rPr>
        <w:t xml:space="preserve">“Competitive Business”</w:t>
      </w:r>
      <w:r>
        <w:t xml:space="preserve"> means the business activities described in Cover Terms under Competitive Business.</w:t>
      </w:r>
    </w:p>
    <w:p>
      <w:pPr>
        <w:pStyle w:val="OABody"/>
        <w:numPr>
          <w:ilvl w:val="1"/>
          <w:numId w:val="1"/>
        </w:numPr>
        <w:spacing w:before="0" w:after="120" w:line="340" w:lineRule="auto"/>
      </w:pPr>
      <w:r>
        <w:rPr>
          <w:b/>
          <w:bCs/>
          <w:color w:val="117086"/>
        </w:rPr>
        <w:t xml:space="preserve">“Confidential Information”</w:t>
      </w:r>
      <w:r>
        <w:t xml:space="preserve"> means non-public information relating to Employer's business, including trade secrets, customer lists, pricing, business processes, technical data, and strategic plans, but excluding information that becomes public through no fault of Employee and the general knowledge, skill, and experience Employee acquired during employment.</w:t>
      </w:r>
    </w:p>
    <w:p>
      <w:pPr>
        <w:pStyle w:val="OABody"/>
        <w:numPr>
          <w:ilvl w:val="1"/>
          <w:numId w:val="1"/>
        </w:numPr>
        <w:spacing w:before="0" w:after="120" w:line="340" w:lineRule="auto"/>
      </w:pPr>
      <w:r>
        <w:rPr>
          <w:b/>
          <w:bCs/>
          <w:color w:val="117086"/>
        </w:rPr>
        <w:t xml:space="preserve">“Covered Customers”</w:t>
      </w:r>
      <w:r>
        <w:t xml:space="preserve"> means customers, vendors, referral sources, and business partners with whom Employee had material contact or for whom Employee had responsibility during the </w:t>
      </w:r>
      <w:r>
        <w:rPr>
          <w:b w:val="0"/>
          <w:bCs w:val="0"/>
        </w:rPr>
        <w:t xml:space="preserve">12 months</w:t>
      </w:r>
      <w:r>
        <w:t xml:space="preserve"> before termination of employment.</w:t>
      </w:r>
    </w:p>
    <w:p>
      <w:pPr>
        <w:pStyle w:val="OABody"/>
        <w:numPr>
          <w:ilvl w:val="1"/>
          <w:numId w:val="1"/>
        </w:numPr>
        <w:spacing w:before="0" w:after="120" w:line="340" w:lineRule="auto"/>
      </w:pPr>
      <w:r>
        <w:rPr>
          <w:b/>
          <w:bCs/>
          <w:color w:val="117086"/>
        </w:rPr>
        <w:t xml:space="preserve">“Covered Employees”</w:t>
      </w:r>
      <w:r>
        <w:t xml:space="preserve"> means employees with whom Employee worked or whom Employee managed during the </w:t>
      </w:r>
      <w:r>
        <w:rPr>
          <w:b w:val="0"/>
          <w:bCs w:val="0"/>
        </w:rPr>
        <w:t xml:space="preserve">12 months</w:t>
      </w:r>
      <w:r>
        <w:t xml:space="preserve"> before termination of employment.</w:t>
      </w:r>
    </w:p>
    <w:p>
      <w:pPr>
        <w:pStyle w:val="OABody"/>
        <w:numPr>
          <w:ilvl w:val="1"/>
          <w:numId w:val="1"/>
        </w:numPr>
        <w:spacing w:before="0" w:after="120" w:line="340" w:lineRule="auto"/>
      </w:pPr>
      <w:r>
        <w:rPr>
          <w:b/>
          <w:bCs/>
          <w:color w:val="117086"/>
        </w:rPr>
        <w:t xml:space="preserve">“Passive Public Holdings”</w:t>
      </w:r>
      <w:r>
        <w:t xml:space="preserve"> means ownership of securities of a publicly traded company representing less than </w:t>
      </w:r>
      <w:r>
        <w:rPr>
          <w:b w:val="0"/>
          <w:bCs w:val="0"/>
        </w:rPr>
        <w:t xml:space="preserve">five percent</w:t>
      </w:r>
      <w:r>
        <w:t xml:space="preserve"> of any class of such company's securities, and interests in diversified mutual funds, index funds, and exchange-traded funds that may hold securities of a Competitive Business.</w:t>
      </w:r>
    </w:p>
    <w:p>
      <w:pPr>
        <w:pStyle w:val="OABody"/>
        <w:numPr>
          <w:ilvl w:val="1"/>
          <w:numId w:val="1"/>
        </w:numPr>
        <w:spacing w:before="0" w:after="120" w:line="340" w:lineRule="auto"/>
      </w:pPr>
      <w:r>
        <w:rPr>
          <w:b/>
          <w:bCs/>
          <w:color w:val="117086"/>
        </w:rPr>
        <w:t xml:space="preserve">“Protected Interests”</w:t>
      </w:r>
      <w:r>
        <w:t xml:space="preserve"> means Employer's Protected Interests in its Trade Secrets and other Confidential Information, its customer lists, its customer goodwill, and any unusual training in which Employer has invested, and does not include Employee's general knowledge, skill, and experience.</w:t>
      </w:r>
    </w:p>
    <w:p>
      <w:pPr>
        <w:pStyle w:val="OABody"/>
        <w:numPr>
          <w:ilvl w:val="1"/>
          <w:numId w:val="1"/>
        </w:numPr>
        <w:spacing w:before="0" w:after="120" w:line="340" w:lineRule="auto"/>
      </w:pPr>
      <w:r>
        <w:rPr>
          <w:b/>
          <w:bCs/>
          <w:color w:val="117086"/>
        </w:rPr>
        <w:t xml:space="preserve">“Restricted Period”</w:t>
      </w:r>
      <w:r>
        <w:t xml:space="preserve"> means the duration specified in Cover Terms for each covenant, beginning on the date Employee's employment with Employer ends for any reason.</w:t>
      </w:r>
    </w:p>
    <w:p>
      <w:pPr>
        <w:pStyle w:val="OABody"/>
        <w:numPr>
          <w:ilvl w:val="1"/>
          <w:numId w:val="1"/>
        </w:numPr>
        <w:spacing w:before="0" w:after="120" w:line="340" w:lineRule="auto"/>
      </w:pPr>
      <w:r>
        <w:rPr>
          <w:b/>
          <w:bCs/>
          <w:color w:val="117086"/>
        </w:rPr>
        <w:t xml:space="preserve">“Restricted Territory”</w:t>
      </w:r>
      <w:r>
        <w:t xml:space="preserve"> means the geographic area described in Cover Terms under Restricted Territory.</w:t>
      </w:r>
    </w:p>
    <w:p>
      <w:pPr>
        <w:pStyle w:val="OABody"/>
        <w:numPr>
          <w:ilvl w:val="1"/>
          <w:numId w:val="1"/>
        </w:numPr>
        <w:spacing w:before="0" w:after="120" w:line="340" w:lineRule="auto"/>
      </w:pPr>
      <w:r>
        <w:rPr>
          <w:b/>
          <w:bCs/>
          <w:color w:val="117086"/>
        </w:rPr>
        <w:t xml:space="preserve">“Solicit”</w:t>
      </w:r>
      <w:r>
        <w:t xml:space="preserve"> means to directly or indirectly contact, approach, induce, encourage, or provide Confidential Information to any person or entity for the purpose of diverting business away from Employer, but does not include responding to general advertisements or unsolicited inquiries not initiated by Employee.</w:t>
      </w:r>
    </w:p>
    <w:p>
      <w:pPr>
        <w:pStyle w:val="OABody"/>
        <w:numPr>
          <w:ilvl w:val="1"/>
          <w:numId w:val="1"/>
        </w:numPr>
        <w:spacing w:before="0" w:after="120" w:line="340" w:lineRule="auto"/>
      </w:pPr>
      <w:r>
        <w:rPr>
          <w:b/>
          <w:bCs/>
          <w:color w:val="117086"/>
        </w:rPr>
        <w:t xml:space="preserve">“Trade Secrets”</w:t>
      </w:r>
      <w:r>
        <w:t xml:space="preserve"> means information that qualifies as a trade secret under applicable law.</w:t>
      </w:r>
    </w:p>
    <w:p>
      <w:pPr>
        <w:pStyle w:val="OABody"/>
        <w:keepNext/>
        <w:numPr>
          <w:ilvl w:val="0"/>
          <w:numId w:val="1"/>
        </w:numPr>
        <w:spacing w:before="320" w:after="120" w:line="340" w:lineRule="auto"/>
        <w:jc w:val="left"/>
      </w:pPr>
      <w:r>
        <w:rPr>
          <w:b/>
          <w:bCs/>
        </w:rPr>
        <w:t xml:space="preserve">Recitals and Protectable Interests</w:t>
      </w:r>
    </w:p>
    <w:p>
      <w:pPr>
        <w:pStyle w:val="OABody"/>
        <w:spacing w:before="0" w:after="120" w:line="340" w:lineRule="auto"/>
        <w:ind w:left="720"/>
      </w:pPr>
      <w:r>
        <w:t xml:space="preserve">Employer and Employee acknowledge that each restrictive covenant in this agreement is ancillary to a valid employment relationship. Employee will receive access to Employer's Trade Secrets and other Confidential Information and will develop customer relationships and goodwill on Employer's behalf. Each covenant protects those Protected Interests.</w:t>
      </w:r>
    </w:p>
    <w:p>
      <w:pPr>
        <w:pStyle w:val="OABody"/>
        <w:keepNext/>
        <w:numPr>
          <w:ilvl w:val="0"/>
          <w:numId w:val="1"/>
        </w:numPr>
        <w:spacing w:before="320" w:after="120" w:line="340" w:lineRule="auto"/>
        <w:jc w:val="left"/>
      </w:pPr>
      <w:r>
        <w:rPr>
          <w:b/>
          <w:bCs/>
        </w:rPr>
        <w:t xml:space="preserve">Timing, Consideration, and Employee Acknowledgements</w:t>
      </w:r>
    </w:p>
    <w:p>
      <w:pPr>
        <w:pStyle w:val="OABody"/>
        <w:spacing w:before="0" w:after="120" w:line="340" w:lineRule="auto"/>
        <w:ind w:left="720"/>
      </w:pPr>
      <w:r>
        <w:t xml:space="preserve">This agreement is effective as of the Effective Date listed in Cover Terms. The parties acknowledge that this agreement is supported by adequate consideration. If this agreement is signed at the outset of employment, the offer and commencement of employment is the consideration for the covenants. If this agreement is signed after Employee's employment has begun, the consideration for the covenants is the new value stated in Cover Terms under New Consideration (if signed after hire). Employee acknowledges having had the opportunity to consult with independent legal counsel before signing this agreement.</w:t>
      </w:r>
    </w:p>
    <w:p>
      <w:pPr>
        <w:pStyle w:val="OABody"/>
        <w:keepNext/>
        <w:numPr>
          <w:ilvl w:val="0"/>
          <w:numId w:val="1"/>
        </w:numPr>
        <w:spacing w:before="320" w:after="120" w:line="340" w:lineRule="auto"/>
        <w:jc w:val="left"/>
      </w:pPr>
      <w:r>
        <w:rPr>
          <w:b/>
          <w:bCs/>
        </w:rPr>
        <w:t xml:space="preserve">Confidential Information and Trade Secret Protection</w:t>
      </w:r>
    </w:p>
    <w:p>
      <w:pPr>
        <w:pStyle w:val="OABody"/>
        <w:spacing w:before="0" w:after="120" w:line="340" w:lineRule="auto"/>
        <w:ind w:left="720"/>
      </w:pPr>
      <w:r>
        <w:t xml:space="preserve">Employee must treat all Confidential Information as strictly confidential. Employee must not use or disclose Confidential Information except as required to perform authorized job duties or with Employer's prior written consent. Employee's obligations regarding Trade Secrets continue for the period specified in Cover Terms under Trade Secrets Duration. Employee's obligations regarding other Confidential Information continue for the period specified in Cover Terms under Other Confidential Information Duration. This section operates alongside, and independent of, the restrictive covenants in this agreement, and it does not restrict Employee's use of the general knowledge, skill, and experience Employee acquired during employment.</w:t>
      </w:r>
    </w:p>
    <w:p>
      <w:pPr>
        <w:pStyle w:val="OABody"/>
        <w:keepNext/>
        <w:numPr>
          <w:ilvl w:val="0"/>
          <w:numId w:val="1"/>
        </w:numPr>
        <w:spacing w:before="320" w:after="120" w:line="340" w:lineRule="auto"/>
        <w:jc w:val="left"/>
      </w:pPr>
      <w:r>
        <w:rPr>
          <w:b/>
          <w:bCs/>
        </w:rPr>
        <w:t xml:space="preserve">Permitted Disclosures and Protected Conduct</w:t>
      </w:r>
    </w:p>
    <w:p>
      <w:pPr>
        <w:pStyle w:val="OABody"/>
        <w:spacing w:before="0" w:after="120" w:line="340" w:lineRule="auto"/>
        <w:ind w:left="720"/>
      </w:pPr>
      <w:r>
        <w:t xml:space="preserve">Nothing in this agreement prohibits Employee from: (a) reporting possible violations of law to any government agency, including the Securities and Exchange Commission, the Equal Employment Opportunity Commission, the Occupational Safety and Health Administration, or any other federal, state, or local agency; (b) making disclosures protected under whistleblower provisions of any law; (c) discussing wages, hours, or other terms and conditions of employment as protected by applicable law, including Section 7 of the National Labor Relations Act (29 U.S.C. § 157); (d) testifying truthfully in legal proceedings; (e) responding to a subpoena, court order, or lawful demand of a government agency, with notice to Employer where permitted by law; or (f) filing a sealed complaint in court using Confidential Information without liability. Pursuant to the Defend Trade Secrets Act (18 U.S.C. § 1833(b)), Employee may not be held criminally or civilly liable for disclosing a trade secret in confidence to a government official or attorney solely for the purpose of reporting or investigating a suspected violation of law, or in a sealed court filing.</w:t>
      </w:r>
    </w:p>
    <w:p>
      <w:pPr>
        <w:pStyle w:val="OABody"/>
        <w:keepNext/>
        <w:numPr>
          <w:ilvl w:val="0"/>
          <w:numId w:val="1"/>
        </w:numPr>
        <w:spacing w:before="320" w:after="120" w:line="340" w:lineRule="auto"/>
        <w:jc w:val="left"/>
      </w:pPr>
      <w:r>
        <w:rPr>
          <w:b/>
          <w:bCs/>
        </w:rPr>
        <w:t xml:space="preserve">Return, Deletion, and Certification of Company Property</w:t>
      </w:r>
    </w:p>
    <w:p>
      <w:pPr>
        <w:pStyle w:val="OABody"/>
        <w:spacing w:before="0" w:after="120" w:line="340" w:lineRule="auto"/>
        <w:ind w:left="720"/>
      </w:pPr>
      <w:r>
        <w:t xml:space="preserve">Upon termination of employment, Employee must promptly return to Employer all documents, devices, files, credentials, and other materials containing or relating to Confidential Information. Where permitted, Employee must permanently delete electronic copies of Confidential Information from personal devices and accounts. Employee must certify compliance with this section in writing upon Employer's request.</w:t>
      </w:r>
    </w:p>
    <w:p>
      <w:pPr>
        <w:pStyle w:val="OABody"/>
        <w:keepNext/>
        <w:numPr>
          <w:ilvl w:val="0"/>
          <w:numId w:val="1"/>
        </w:numPr>
        <w:spacing w:before="320" w:after="120" w:line="340" w:lineRule="auto"/>
        <w:jc w:val="left"/>
      </w:pPr>
      <w:r>
        <w:rPr>
          <w:b/>
          <w:bCs/>
        </w:rPr>
        <w:t xml:space="preserve">Non-Solicitation of Employees</w:t>
      </w:r>
    </w:p>
    <w:p>
      <w:pPr>
        <w:pStyle w:val="OABody"/>
        <w:spacing w:before="0" w:after="120" w:line="340" w:lineRule="auto"/>
        <w:ind w:left="720"/>
      </w:pPr>
      <w:r>
        <w:t xml:space="preserve">During the Restricted Period, Employee must not Solicit, recruit, hire, or attempt to hire any Covered Employee. This restriction does not prohibit Employee from providing a professional reference upon request or from hiring a person who responds to a general advertisement not directed specifically at Employer's employees.</w:t>
      </w:r>
    </w:p>
    <w:p>
      <w:pPr>
        <w:pStyle w:val="OABody"/>
        <w:keepNext/>
        <w:numPr>
          <w:ilvl w:val="0"/>
          <w:numId w:val="1"/>
        </w:numPr>
        <w:spacing w:before="320" w:after="120" w:line="340" w:lineRule="auto"/>
        <w:jc w:val="left"/>
      </w:pPr>
      <w:r>
        <w:rPr>
          <w:b/>
          <w:bCs/>
        </w:rPr>
        <w:t xml:space="preserve">Non-Solicitation of Customers, Vendors, Referral Sources, and Business Partners</w:t>
      </w:r>
    </w:p>
    <w:p>
      <w:pPr>
        <w:pStyle w:val="OABody"/>
        <w:spacing w:before="0" w:after="120" w:line="340" w:lineRule="auto"/>
        <w:ind w:left="720"/>
      </w:pPr>
      <w:r>
        <w:t xml:space="preserve">During the Restricted Period, Employee must not Solicit the business of any Covered Customer with whom Employee had material contact or for whom Employee had responsibility. This covenant does not bar Employee from working in Employee's field or from engaging in business generally.</w:t>
      </w:r>
    </w:p>
    <w:p>
      <w:pPr>
        <w:pStyle w:val="OABody"/>
        <w:keepNext/>
        <w:numPr>
          <w:ilvl w:val="0"/>
          <w:numId w:val="1"/>
        </w:numPr>
        <w:spacing w:before="320" w:after="120" w:line="340" w:lineRule="auto"/>
        <w:jc w:val="left"/>
      </w:pPr>
      <w:r>
        <w:rPr>
          <w:b/>
          <w:bCs/>
        </w:rPr>
        <w:t xml:space="preserve">No Business with Covered Customers</w:t>
      </w:r>
    </w:p>
    <w:p>
      <w:pPr>
        <w:pStyle w:val="OABody"/>
        <w:spacing w:before="0" w:after="120" w:line="340" w:lineRule="auto"/>
        <w:ind w:left="720"/>
      </w:pPr>
      <w:r>
        <w:t xml:space="preserve">During the Restricted Period, Employee must not accept, service, or do business with any Covered Customer with whom Employee had material contact or for whom Employee had responsibility, regardless of who initiates contact.</w:t>
      </w:r>
    </w:p>
    <w:p>
      <w:pPr>
        <w:pStyle w:val="OABody"/>
        <w:keepNext/>
        <w:numPr>
          <w:ilvl w:val="0"/>
          <w:numId w:val="1"/>
        </w:numPr>
        <w:spacing w:before="320" w:after="120" w:line="340" w:lineRule="auto"/>
        <w:jc w:val="left"/>
      </w:pPr>
      <w:r>
        <w:rPr>
          <w:b/>
          <w:bCs/>
        </w:rPr>
        <w:t xml:space="preserve">Non-Competition</w:t>
      </w:r>
    </w:p>
    <w:p>
      <w:pPr>
        <w:pStyle w:val="OABody"/>
        <w:spacing w:before="0" w:after="120" w:line="340" w:lineRule="auto"/>
        <w:ind w:left="720"/>
      </w:pPr>
      <w:r>
        <w:t xml:space="preserve">During the Restricted Period, Employee must not engage in, be employed by, consult for, or have an active ownership interest in any Competitive Business within the Restricted Territory. This covenant is included to protect Employer's Protected Interests, not to restrain ordinary competition, and is limited to the Competitive Business and Restricted Territory stated in Cover Terms. Where Cover Terms list Specified Competitors, this covenant is limited to those named competitors. If Cover Terms indicate this covenant is a Sale-of-Business Covenant, it is given by Employee in connection with Employee's sale of a business or practice to Employer and is supported by the consideration paid in that transaction. Passive Public Holdings are permitted.</w:t>
      </w:r>
    </w:p>
    <w:p>
      <w:pPr>
        <w:pStyle w:val="OABody"/>
        <w:keepNext/>
        <w:numPr>
          <w:ilvl w:val="0"/>
          <w:numId w:val="1"/>
        </w:numPr>
        <w:spacing w:before="320" w:after="120" w:line="340" w:lineRule="auto"/>
        <w:jc w:val="left"/>
      </w:pPr>
      <w:r>
        <w:rPr>
          <w:b/>
          <w:bCs/>
        </w:rPr>
        <w:t xml:space="preserve">Non-Investment</w:t>
      </w:r>
    </w:p>
    <w:p>
      <w:pPr>
        <w:pStyle w:val="OABody"/>
        <w:spacing w:before="0" w:after="120" w:line="340" w:lineRule="auto"/>
        <w:ind w:left="720"/>
      </w:pPr>
      <w:r>
        <w:t xml:space="preserve">During the Restricted Period, Employee must not acquire or hold any active ownership interest in, serve as a director, officer, manager, or advisor to, or have material economic participation in any Competitive Business. Passive Public Holdings below the threshold stated in Cover Terms are permitted.</w:t>
      </w:r>
    </w:p>
    <w:p>
      <w:pPr>
        <w:pStyle w:val="OABody"/>
        <w:keepNext/>
        <w:numPr>
          <w:ilvl w:val="0"/>
          <w:numId w:val="1"/>
        </w:numPr>
        <w:spacing w:before="320" w:after="120" w:line="340" w:lineRule="auto"/>
        <w:jc w:val="left"/>
      </w:pPr>
      <w:r>
        <w:rPr>
          <w:b/>
          <w:bCs/>
        </w:rPr>
        <w:t xml:space="preserve">Non-Disparagement</w:t>
      </w:r>
    </w:p>
    <w:p>
      <w:pPr>
        <w:pStyle w:val="OABody"/>
        <w:spacing w:before="0" w:after="120" w:line="340" w:lineRule="auto"/>
        <w:ind w:left="720"/>
      </w:pPr>
      <w:r>
        <w:t xml:space="preserve">During the Restricted Period specified in Cover Terms for Non-Disparagement, Employee must not make statements that are intended to or reasonably likely to disparage Employer, its officers, directors, employees, products, or services. This section does not restrict Employee from making truthful statements in legal proceedings, providing truthful testimony, making disclosures to government agencies, or exercising rights protected by law, including rights protected under Section 7 of the National Labor Relations Act.</w:t>
      </w:r>
    </w:p>
    <w:p>
      <w:pPr>
        <w:pStyle w:val="OABody"/>
        <w:keepNext/>
        <w:numPr>
          <w:ilvl w:val="0"/>
          <w:numId w:val="1"/>
        </w:numPr>
        <w:spacing w:before="320" w:after="120" w:line="340" w:lineRule="auto"/>
        <w:jc w:val="left"/>
      </w:pPr>
      <w:r>
        <w:rPr>
          <w:b/>
          <w:bCs/>
        </w:rPr>
        <w:t xml:space="preserve">Physician and Health Care Practitioner Covenants</w:t>
      </w:r>
    </w:p>
    <w:p>
      <w:pPr>
        <w:pStyle w:val="OABody"/>
        <w:spacing w:before="0" w:after="120" w:line="340" w:lineRule="auto"/>
        <w:ind w:left="720"/>
      </w:pPr>
      <w:r>
        <w:t xml:space="preserve">If Employee is a physician, any covenant not to compete is limited to one year and thirty road miles from Employee's primary place of practice with Employer and does not apply if Employer terminates Employee's employment. These limitations do not apply to a covenant Employee gives in connection with the sale of Employee's business or practice or to a covenant among physicians who are owners of a health care practice.</w:t>
      </w:r>
    </w:p>
    <w:p>
      <w:pPr>
        <w:pStyle w:val="OABody"/>
        <w:keepNext/>
        <w:numPr>
          <w:ilvl w:val="0"/>
          <w:numId w:val="1"/>
        </w:numPr>
        <w:spacing w:before="320" w:after="120" w:line="340" w:lineRule="auto"/>
        <w:jc w:val="left"/>
      </w:pPr>
      <w:r>
        <w:rPr>
          <w:b/>
          <w:bCs/>
        </w:rPr>
        <w:t xml:space="preserve">No Conflicting Obligations</w:t>
      </w:r>
    </w:p>
    <w:p>
      <w:pPr>
        <w:pStyle w:val="OABody"/>
        <w:spacing w:before="0" w:after="120" w:line="340" w:lineRule="auto"/>
        <w:ind w:left="720"/>
      </w:pPr>
      <w:r>
        <w:t xml:space="preserve">Employee represents that performing duties for Employer and complying with this agreement does not conflict with any prior agreement, court order, or legal obligation binding on Employee. Employee must promptly disclose to Employer any potential conflict that arises during employment.</w:t>
      </w:r>
    </w:p>
    <w:p>
      <w:pPr>
        <w:pStyle w:val="OABody"/>
        <w:keepNext/>
        <w:numPr>
          <w:ilvl w:val="0"/>
          <w:numId w:val="1"/>
        </w:numPr>
        <w:spacing w:before="320" w:after="120" w:line="340" w:lineRule="auto"/>
        <w:jc w:val="left"/>
      </w:pPr>
      <w:r>
        <w:rPr>
          <w:b/>
          <w:bCs/>
        </w:rPr>
        <w:t xml:space="preserve">Notice to Future Employers and Other Third Parties</w:t>
      </w:r>
    </w:p>
    <w:p>
      <w:pPr>
        <w:pStyle w:val="OABody"/>
        <w:spacing w:before="0" w:after="120" w:line="340" w:lineRule="auto"/>
        <w:ind w:left="720"/>
      </w:pPr>
      <w:r>
        <w:t xml:space="preserve">Employer may disclose the existence and terms of this agreement to any prospective employer or business associate of Employee if Employer has a reasonable belief that Employee may breach this agreement. Employee consents to this disclosure.</w:t>
      </w:r>
    </w:p>
    <w:p>
      <w:pPr>
        <w:pStyle w:val="OABody"/>
        <w:keepNext/>
        <w:numPr>
          <w:ilvl w:val="0"/>
          <w:numId w:val="1"/>
        </w:numPr>
        <w:spacing w:before="320" w:after="120" w:line="340" w:lineRule="auto"/>
        <w:jc w:val="left"/>
      </w:pPr>
      <w:r>
        <w:rPr>
          <w:b/>
          <w:bCs/>
        </w:rPr>
        <w:t xml:space="preserve">Tolling During Breach</w:t>
      </w:r>
    </w:p>
    <w:p>
      <w:pPr>
        <w:pStyle w:val="OABody"/>
        <w:spacing w:before="0" w:after="120" w:line="340" w:lineRule="auto"/>
        <w:ind w:left="720"/>
      </w:pPr>
      <w:r>
        <w:t xml:space="preserve">If Employee breaches any restrictive covenant in this agreement, Employer may seek to have the Restricted Period for that covenant equitably extended by the period of the breach. Any extension is limited to the period of the breach, and no extension enlarges any physician covenant beyond the limits stated in the Physician and Health Care Practitioner Covenants section.</w:t>
      </w:r>
    </w:p>
    <w:p>
      <w:pPr>
        <w:pStyle w:val="OABody"/>
        <w:keepNext/>
        <w:numPr>
          <w:ilvl w:val="0"/>
          <w:numId w:val="1"/>
        </w:numPr>
        <w:spacing w:before="320" w:after="120" w:line="340" w:lineRule="auto"/>
        <w:jc w:val="left"/>
      </w:pPr>
      <w:r>
        <w:rPr>
          <w:b/>
          <w:bCs/>
        </w:rPr>
        <w:t xml:space="preserve">Remedies</w:t>
      </w:r>
    </w:p>
    <w:p>
      <w:pPr>
        <w:pStyle w:val="OABody"/>
        <w:spacing w:before="0" w:after="120" w:line="340" w:lineRule="auto"/>
        <w:ind w:left="720"/>
      </w:pPr>
      <w:r>
        <w:t xml:space="preserve">Employee acknowledges that a breach of this agreement may cause Employer irreparable harm for which money damages would be inadequate, and that Employer may seek injunctive or other equitable relief in addition to any other remedies available at law. Any fee-shifting between the parties under this agreement is mutual and prevailing-party based.</w:t>
      </w:r>
    </w:p>
    <w:p>
      <w:pPr>
        <w:pStyle w:val="OABody"/>
        <w:keepNext/>
        <w:numPr>
          <w:ilvl w:val="0"/>
          <w:numId w:val="1"/>
        </w:numPr>
        <w:spacing w:before="320" w:after="120" w:line="340" w:lineRule="auto"/>
        <w:jc w:val="left"/>
      </w:pPr>
      <w:r>
        <w:rPr>
          <w:b/>
          <w:bCs/>
        </w:rPr>
        <w:t xml:space="preserve">Enforceability and Severability</w:t>
      </w:r>
    </w:p>
    <w:p>
      <w:pPr>
        <w:pStyle w:val="OABody"/>
        <w:spacing w:before="0" w:after="120" w:line="340" w:lineRule="auto"/>
        <w:ind w:left="720"/>
      </w:pPr>
      <w:r>
        <w:t xml:space="preserve">If any provision of this agreement is found to be unenforceable, the remaining provisions remain in full force and effect.</w:t>
      </w:r>
    </w:p>
    <w:p>
      <w:pPr>
        <w:pStyle w:val="OABody"/>
        <w:keepNext/>
        <w:numPr>
          <w:ilvl w:val="0"/>
          <w:numId w:val="1"/>
        </w:numPr>
        <w:spacing w:before="320" w:after="120" w:line="340" w:lineRule="auto"/>
        <w:jc w:val="left"/>
      </w:pPr>
      <w:r>
        <w:rPr>
          <w:b/>
          <w:bCs/>
        </w:rPr>
        <w:t xml:space="preserve">Survival and Expiration of Each Covenant</w:t>
      </w:r>
    </w:p>
    <w:p>
      <w:pPr>
        <w:pStyle w:val="OABody"/>
        <w:spacing w:before="0" w:after="120" w:line="340" w:lineRule="auto"/>
        <w:ind w:left="720"/>
      </w:pPr>
      <w:r>
        <w:t xml:space="preserve">Each restrictive covenant in this agreement survives the termination of Employee's employment for the Restricted Period specified in Cover Terms. Obligations under the Confidential Information and Trade Secret Protection section survive to the extent they relate to Trade Secrets, for as long as the information remains a trade secret. All other provisions survive to the extent necessary to enforce rights that arose during employment.</w:t>
      </w:r>
    </w:p>
    <w:p>
      <w:pPr>
        <w:pStyle w:val="OABody"/>
        <w:keepNext/>
        <w:numPr>
          <w:ilvl w:val="0"/>
          <w:numId w:val="1"/>
        </w:numPr>
        <w:spacing w:before="320" w:after="120" w:line="340" w:lineRule="auto"/>
        <w:jc w:val="left"/>
      </w:pPr>
      <w:r>
        <w:rPr>
          <w:b/>
          <w:bCs/>
        </w:rPr>
        <w:t xml:space="preserve">Assignment and Successors</w:t>
      </w:r>
    </w:p>
    <w:p>
      <w:pPr>
        <w:pStyle w:val="OABody"/>
        <w:spacing w:before="0" w:after="120" w:line="340" w:lineRule="auto"/>
        <w:ind w:left="720"/>
      </w:pPr>
      <w:r>
        <w:t xml:space="preserve">Employee may not assign this agreement or any rights or obligations under it. Employer may assign this agreement to any affiliate, successor, or acquirer of all or substantially all of Employer's business or assets. This agreement is binding on and inures to the benefit of the parties and their respective heirs, successors, and permitted assigns.</w:t>
      </w:r>
    </w:p>
    <w:p>
      <w:pPr>
        <w:pStyle w:val="OABody"/>
        <w:keepNext/>
        <w:numPr>
          <w:ilvl w:val="0"/>
          <w:numId w:val="1"/>
        </w:numPr>
        <w:spacing w:before="320" w:after="120" w:line="340" w:lineRule="auto"/>
        <w:jc w:val="left"/>
      </w:pPr>
      <w:r>
        <w:rPr>
          <w:b/>
          <w:bCs/>
        </w:rPr>
        <w:t xml:space="preserve">Governing Law, Venue, and Dispute Process</w:t>
      </w:r>
    </w:p>
    <w:p>
      <w:pPr>
        <w:pStyle w:val="OABody"/>
        <w:spacing w:before="0" w:after="120" w:line="340" w:lineRule="auto"/>
        <w:ind w:left="720"/>
      </w:pPr>
      <w:r>
        <w:t xml:space="preserve">This agreement is governed by the law listed in Cover Terms. Disputes will be resolved in the courts of the Governing Law state, subject to non-waivable rights under applicable law.</w:t>
      </w:r>
    </w:p>
    <w:p>
      <w:pPr>
        <w:pStyle w:val="OABody"/>
        <w:keepNext/>
        <w:numPr>
          <w:ilvl w:val="0"/>
          <w:numId w:val="1"/>
        </w:numPr>
        <w:spacing w:before="320" w:after="120" w:line="340" w:lineRule="auto"/>
        <w:jc w:val="left"/>
      </w:pPr>
      <w:r>
        <w:rPr>
          <w:b/>
          <w:bCs/>
        </w:rPr>
        <w:t xml:space="preserve">Entire Agreement, Amendment, Waiver, and Electronic Signatures</w:t>
      </w:r>
    </w:p>
    <w:p>
      <w:pPr>
        <w:pStyle w:val="OABody"/>
        <w:spacing w:before="0" w:after="120" w:line="340" w:lineRule="auto"/>
        <w:ind w:left="720"/>
      </w:pPr>
      <w:r>
        <w:t xml:space="preserve">This agreement constitutes the entire agreement between the parties regarding its subject matter and supersedes all prior agreements, understandings, and negotiations on this subject. This agreement may be amended only in writing signed by both parties. A party's failure to enforce any provision does not waive that party's right to enforce it later. This agreement may be executed in counterparts, including by electronic signature, each of which is an original.</w:t>
      </w:r>
    </w:p>
    <w:p>
      <w:pPr>
        <w:sectPr>
          <w:headerReference w:type="default" r:id="rId4"/>
          <w:footerReference w:type="default" r:id="rId5"/>
          <w:type w:val="nextPage"/>
          <w:pgSz w:w="12240" w:h="15840"/>
          <w:pgMar w:top="936" w:right="1080" w:bottom="720" w:left="1080" w:header="360" w:footer="432" w:gutter="0"/>
        </w:sectPr>
      </w:pPr>
    </w:p>
    <w:p>
      <w:pPr>
        <w:pStyle w:val="OASectionHeading"/>
      </w:pPr>
      <w:r>
        <w:t xml:space="preserve">Signatures</w:t>
      </w:r>
    </w:p>
    <w:p>
      <w:pPr>
        <w:pStyle w:val="OABody"/>
      </w:pPr>
      <w:r>
        <w:t xml:space="preserve">By signing this agreement, each party acknowledges and agrees to the restrictive covenant obligations above. Employee confirms having read and understood each provision, including the Cover Terms.</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480" w:after="0"/>
            </w:pPr>
            <w:r>
              <w:rPr>
                <w:rFonts w:ascii="Arial" w:hAnsi="Arial" w:cs="Arial"/>
                <w:b/>
                <w:bCs/>
                <w:caps/>
                <w:color w:val="1D2021"/>
                <w:sz w:val="18"/>
                <w:szCs w:val="18"/>
              </w:rPr>
              <w:t xml:space="preserve">Employer</w:t>
            </w:r>
          </w:p>
        </w:tc>
        <w:tc>
          <w:tcPr>
            <w:tcW w:w="432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480" w:after="0"/>
            </w:pPr>
            <w:r>
              <w:rPr>
                <w:rFonts w:ascii="Arial" w:hAnsi="Arial" w:cs="Arial"/>
                <w:b/>
                <w:bCs/>
                <w:color w:val="1D2021"/>
                <w:sz w:val="22"/>
                <w:szCs w:val="22"/>
                <w:highlight w:val="yellow"/>
              </w:rPr>
              <w:t xml:space="preserve">[Legal name of the employer]</w:t>
            </w:r>
          </w:p>
        </w:tc>
      </w:tr>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Signatory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b/>
                <w:bCs/>
                <w:color w:val="1D2021"/>
                <w:sz w:val="22"/>
                <w:szCs w:val="22"/>
                <w:highlight w:val="yellow"/>
              </w:rPr>
              <w:t xml:space="preserve">[Full name of the authorized signatory signing for the employer]</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Title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b/>
                <w:bCs/>
                <w:color w:val="1D2021"/>
                <w:sz w:val="22"/>
                <w:szCs w:val="22"/>
                <w:highlight w:val="yellow"/>
              </w:rPr>
              <w:t xml:space="preserve">[Title of the authorized signatory signing for the employer]</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pPr>
        <w:keepNext/>
        <w:spacing w:before="480" w:after="100"/>
        <w:jc w:val="left"/>
      </w:pPr>
      <w:r>
        <w:rPr>
          <w:rFonts w:ascii="Arial" w:hAnsi="Arial" w:cs="Arial"/>
          <w:b/>
          <w:bCs/>
          <w:caps/>
          <w:color w:val="1D2021"/>
          <w:sz w:val="18"/>
          <w:szCs w:val="18"/>
        </w:rPr>
        <w:t xml:space="preserve">Employee</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Print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b/>
                <w:bCs/>
                <w:color w:val="1D2021"/>
                <w:sz w:val="22"/>
                <w:szCs w:val="22"/>
                <w:highlight w:val="yellow"/>
              </w:rPr>
              <w:t xml:space="preserve">[Full legal name of the employee]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sectPr>
      <w:headerReference w:type="default" r:id="rId6"/>
      <w:footerReference w:type="default" r:id="rId7"/>
      <w:pgSz w:w="12240" w:h="15840"/>
      <w:pgMar w:top="936" w:right="1080" w:bottom="720" w:left="1080" w:header="360" w:footer="432" w:gutter="0"/>
    </w:sectPr>
  </w:body>
</w:document>
</file>

<file path=word/fontTable.xml><?xml version="1.0" encoding="utf-8"?>
<w:fonts xmlns:w="http://schemas.openxmlformats.org/wordprocessingml/2006/main">
  <w:font w:name="Calibri">
    <w:charset w:val="00"/>
    <w:family w:val="auto"/>
    <w:pitch w:val="variable"/>
  </w:font>
  <w:font w:name="Arial">
    <w:charset w:val="00"/>
    <w:family w:val="auto"/>
    <w:pitch w:val="variable"/>
  </w:font>
  <w:font w:name="Georgia">
    <w:charset w:val="00"/>
    <w:family w:val="auto"/>
    <w:pitch w:val="variable"/>
  </w:font>
</w:fonts>
</file>

<file path=word/footer1.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(West Virginia)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2.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(West Virginia)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3.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(West Virginia)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header1.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Cover Terms</w:t>
    </w:r>
  </w:p>
</w:hdr>
</file>

<file path=word/header2.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Standard Terms</w:t>
    </w:r>
  </w:p>
</w:hdr>
</file>

<file path=word/header3.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Signature Page</w:t>
    </w:r>
  </w:p>
</w:hdr>
</file>

<file path=word/numbering.xml><?xml version="1.0" encoding="utf-8"?>
<w:numbering xmlns:w="http://schemas.openxmlformats.org/wordprocessingml/2006/main">
  <w:abstractNum w:abstractNumId="0">
    <w:multiLevelType w:val="multilevel"/>
    <w:lvl w:ilvl="0">
      <w:start w:val="1"/>
      <w:numFmt w:val="decimal"/>
      <w:lvlText w:val="%1."/>
      <w:lvlJc w:val="right"/>
      <w:pPr>
        <w:ind w:left="720" w:hanging="144"/>
      </w:pPr>
    </w:lvl>
    <w:lvl w:ilvl="1">
      <w:start w:val="1"/>
      <w:numFmt w:val="decimal"/>
      <w:lvlText w:val="%1.%2"/>
      <w:lvlJc w:val="right"/>
      <w:pPr>
        <w:ind w:left="720" w:hanging="144"/>
      </w:pPr>
    </w:lvl>
    <w:lvl w:ilvl="2">
      <w:start w:val="1"/>
      <w:numFmt w:val="lowerLetter"/>
      <w:lvlText w:val="(%3)"/>
      <w:lvlJc w:val="right"/>
      <w:pPr>
        <w:ind w:left="1008" w:hanging="144"/>
      </w:pPr>
    </w:lvl>
    <w:lvl w:ilvl="3">
      <w:start w:val="1"/>
      <w:numFmt w:val="lowerRoman"/>
      <w:lvlText w:val="(%4)"/>
      <w:lvlJc w:val="right"/>
      <w:pPr>
        <w:ind w:left="1296" w:hanging="144"/>
      </w:pPr>
    </w:lvl>
    <w:lvl w:ilvl="4">
      <w:start w:val="1"/>
      <w:numFmt w:val="upperLetter"/>
      <w:lvlText w:val="(%5)"/>
      <w:lvlJc w:val="right"/>
      <w:pPr>
        <w:ind w:left="1584" w:hanging="144"/>
      </w:pPr>
    </w:lvl>
    <w:lvl w:ilvl="5">
      <w:start w:val="1"/>
      <w:numFmt w:val="decimal"/>
      <w:lvlText w:val="(%6)"/>
      <w:lvlJc w:val="right"/>
      <w:pPr>
        <w:ind w:left="1872" w:hanging="144"/>
      </w:pPr>
    </w:lvl>
  </w:abstractNum>
  <w:num w:numId="1">
    <w:abstractNumId w:val="0"/>
  </w:num>
</w:numbering>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rPr>
    </w:rPrDefault>
    <w:pPrDefault/>
  </w:docDefaults>
  <w:style w:type="paragraph" w:styleId="Normal" w:default="1">
    <w:name w:val="Normal"/>
    <w:qFormat/>
  </w:style>
  <w:style w:type="paragraph" w:styleId="OABody">
    <w:name w:val="OA Body"/>
    <w:basedOn w:val="Normal"/>
    <w:next w:val="OABody"/>
    <w:qFormat/>
    <w:pPr>
      <w:spacing w:after="280" w:line="340" w:lineRule="auto"/>
      <w:jc w:val="both"/>
    </w:pPr>
    <w:rPr>
      <w:rFonts w:ascii="Arial" w:hAnsi="Arial" w:cs="Arial"/>
      <w:color w:val="1D2021"/>
      <w:sz w:val="22"/>
      <w:szCs w:val="22"/>
    </w:rPr>
  </w:style>
  <w:style w:type="paragraph" w:styleId="OATitle">
    <w:name w:val="OA Title"/>
    <w:basedOn w:val="Normal"/>
    <w:next w:val="OABody"/>
    <w:qFormat/>
    <w:pPr>
      <w:keepNext/>
      <w:spacing w:before="240" w:after="210" w:line="340" w:lineRule="auto"/>
      <w:jc w:val="left"/>
    </w:pPr>
    <w:rPr>
      <w:rFonts w:ascii="Georgia" w:hAnsi="Georgia" w:cs="Georgia"/>
      <w:color w:val="1D2021"/>
      <w:sz w:val="52"/>
      <w:szCs w:val="52"/>
    </w:rPr>
  </w:style>
  <w:style w:type="paragraph" w:styleId="OASectionHeading">
    <w:name w:val="OA Section Heading"/>
    <w:basedOn w:val="Normal"/>
    <w:next w:val="OABody"/>
    <w:qFormat/>
    <w:pPr>
      <w:keepNext/>
      <w:spacing w:before="240" w:after="120" w:line="340" w:lineRule="auto"/>
      <w:jc w:val="left"/>
    </w:pPr>
    <w:rPr>
      <w:rFonts w:ascii="Arial" w:hAnsi="Arial" w:cs="Arial"/>
      <w:b/>
      <w:bCs/>
      <w:color w:val="117086"/>
      <w:sz w:val="30"/>
      <w:szCs w:val="30"/>
    </w:rPr>
  </w:style>
  <w:style w:type="paragraph" w:styleId="OASubHeading">
    <w:name w:val="OA Sub Heading"/>
    <w:basedOn w:val="Normal"/>
    <w:next w:val="OABody"/>
    <w:qFormat/>
    <w:pPr>
      <w:keepNext/>
      <w:spacing w:before="320" w:after="120" w:line="340" w:lineRule="auto"/>
      <w:jc w:val="left"/>
    </w:pPr>
    <w:rPr>
      <w:rFonts w:ascii="Arial" w:hAnsi="Arial" w:cs="Arial"/>
      <w:b/>
      <w:bCs/>
      <w:color w:val="1D2021"/>
      <w:sz w:val="24"/>
      <w:szCs w:val="24"/>
    </w:rPr>
  </w:style>
</w:styles>
</file>

<file path=word/webSettings.xml><?xml version="1.0" encoding="utf-8"?>
<w:webSettings xmlns:w="http://schemas.openxmlformats.org/wordprocessingml/2006/main">
  <w:optimizeForBrowser/>
  <w:allowPNG/>
</w:webSetting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styles" Target="styles.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fontTable" Target="fontTable.xml"/><Relationship Id="rId12"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Application>safe-docx</Application>
</Properties>
</file>

<file path=docProps/core.xml><?xml version="1.0" encoding="utf-8"?>
<cp:coreProperties xmlns:cp="http://schemas.openxmlformats.org/package/2006/metadata/core-properties" xmlns:dc="http://purl.org/dc/elements/1.1/" xmlns:dcterms="http://purl.org/dc/terms/" xmlns:xsi="http://www.w3.org/2001/XMLSchema-instance">
  <dc:title>Employee Restrictive Covenant Agreement</dc:title>
  <dcterms:created xsi:type="dcterms:W3CDTF">2024-01-01T00:00:00Z</dcterms:created>
  <dcterms:modified xsi:type="dcterms:W3CDTF">2024-01-01T00:00:00Z</dcterms:modified>
</cp:coreProperties>
</file>