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Colorado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Highly Compensated Worker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{highly_compensated_threshold}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Customer Non-Solicit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{customer_nonsolicit_threshold}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Under C.R.S. § 8-2-113(2)(b) and (2)(d), the non-compete and customer non-solicitation exceptions run exclusively through the protection of trade secrets, so those covenants are supported only by, and are drawn no broader than reasonably necessary to protect,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Colorado and federal law, including information that derives independent economic value from not being generally known to, and not being readily ascertainable through proper means by, another person who can obtain economic value from its disclosure or use (see the federal Defend Trade Secrets Act, 18 U.S.C. § 1839(3)).</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is included solely for the protection of those Trade Secrets and is drawn no broader than reasonably necessary to protect Employer's legitimate interest in protecting them, as required by C.R.S. § 8-2-113(2)(b) and (2)(d). Employer would not provide Employee with access to its Trade Secrets absent the protections in this agreement. The parties intend each covenant to be enforceable as written and drawn within the scope Colorado law permits at the outset, rather than in reliance on any judicial narrowing.</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Consistent with C.R.S. § 8-2-113(3)(b), this section is a reasonable confidentiality provision relevant to Employer's business and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Under C.R.S. § 8-2-113(2)(d), this covenant applies, and is enforceable, only if Employee earns annualized cash compensation equivalent to or greater than the Customer Non-Solicit Threshold listed in Cover Terms — which is sixty percent of the highly compensated worker threshold — both at the time this agreement is entered into and at the time the covenant is enforced. This covenant is included solely for the protection of Employer's Trade Secrets and is no broader than reasonably necessary to protect that interest.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applies, and is enforceable, only where a genuine trade-secret interest supports it and Employee earns at or above the applicable earnings threshold under C.R.S. § 8-2-113 both when this agreement is entered into and when the covenant is enforced, and it is drawn no broader than reasonably necessary to protect Employer's Trade Secrets.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Notwithstanding any other provision of this agreement, this covenant applies, and is enforceable, only if Employee earns annualized cash compensation equivalent to or greater than the Highly Compensated Worker Threshold listed in Cover Terms both at the time this agreement is entered into and at the time the covenant is enforced (C.R.S. § 8-2-113(2)(b)), and only as a restraint for the protection of Employer's Trade Secrets that is no broader than reasonably necessary to protect that interest.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C.R.S. § 8-2-113; it therefore applies, and is enforceable, only if Employee earns annualized cash compensation equivalent to or greater than the Highly Compensated Worker Threshold listed in Cover Terms both when this agreement is entered into and when it is enforced, is included solely for the protection of Employer's Trade Secrets, and is drawn no broader than reasonably necessary to protect that interest.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For agreements entered into or renewed on or after August 6, 2025, and 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 regardless of Employee's compensation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by C.R.S. § 8-2-113(3)(a). No such provision recovers ordinary onboarding or routine skills training or a flat amount untethered from documented training cost.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in another state may be unenforceable against Employee to the extent Employee now primarily resides and works in Colorado.</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Employer will not present or attempt to enforce a covenant that is void under C.R.S. § 8-2-113.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non-compete or customer non-solicitation covenant must satisfy the applicable earnings threshold under C.R.S. § 8-2-113 at the time it is enforced.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to cure overbreadth and does not purport to obligate a court to narrow any covenant. Each restrictive covenant is instead drawn within the enforceable scope Colorado law permits at the outset.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(C.R.S. § 8-2-113(6)).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