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the legitimate economic interests Delaware law recognizes a covenant may protect, namely Employer's goodwill in its customer, vendor, referral-source, and business-partner relationships, Employer's Confidential Information, and Employer's trade secrets as defined by the Delaware Uniform Trade Secrets Act (6 Del. C. § 2001(4)), but not Employer's interest in avoiding ordinary competition.</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Delaware Uniform Trade Secrets Act, 6 Del. C. § 2001(4).</w:t>
      </w:r>
    </w:p>
    <w:p>
      <w:pPr>
        <w:pStyle w:val="OABody"/>
        <w:keepNext/>
        <w:numPr>
          <w:ilvl w:val="0"/>
          <w:numId w:val="1"/>
        </w:numPr>
        <w:spacing w:before="320" w:after="120" w:line="340" w:lineRule="auto"/>
        <w:jc w:val="left"/>
      </w:pPr>
      <w:r>
        <w:rPr>
          <w:b/>
          <w:bCs/>
        </w:rPr>
        <w:t xml:space="preserve">Recitals and Legitimate Interests</w:t>
      </w:r>
    </w:p>
    <w:p>
      <w:pPr>
        <w:pStyle w:val="OABody"/>
        <w:spacing w:before="0" w:after="120" w:line="340" w:lineRule="auto"/>
        <w:ind w:left="720"/>
      </w:pPr>
      <w:r>
        <w:t xml:space="preserve">Employer and Employee acknowledge that each restrictive covenant in this agreement is intended to advance one or more of Employer's Protected Interests and to impose no restraint broader than is reasonable to serve that interest. The legitimate interests recognized here are Employer's goodwill and Employer's Confidential Information, and the parties intend each covenant to be tied to the goodwill or information this Employee actually touched rather than to ordinary competition. Each covenant is intended to be reasonable in geographic scope and temporal duration and no broader than reasonable to protect the Protected Interest it serves. Employer would not provide Employee with access to these Protected Interests absent the protections in this agreement.</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consideration given to Employee at the time of signing, and they record the specific value exchanged rather than reciting bare adequacy. If Employee is an existing at-will employee, the parties agree that, in exchange for Employee's assent to the covenants in this agreement, Employer continues an at-will employment relationship that it could otherwise legally have terminated, which the parties intend as sufficient consideration where signing is a condition of keeping the position; where the parties intend additional value — a payment, raise, promotion, or equity grant — that value is identified in the record of this signing. If this agreement is signed at the outset of employment, the offer and commencement of employment is the consideration. The parties intend that the consideration for this agreement is fixed at the time this agreement is formed, so that a later forfeiture or change in benefits does not unwind it. Employee acknowledges having had the opportunity to consult with independent legal counsel before signing. Employee acknowledges that adequate consideration establishes only that the covenants are supported, not that they are reasonable, and that each covenant must independently satisfy the reasonableness standards stated in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 This obligation is scoped to genuinely confidential information and does not operate as a restraint on competition.</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reasonable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reasonable to protect Employer's goodwill in those customer, vendor, referral-source, and business-partner relationships.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This restriction is sized to the goodwill it protects and reaches only Covered Customers with whom Employee had material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exists to advance Employer's Protected Interests — its goodwill and its Confidential Information — and not to restrain ordinary competition. The parties intend this covenant to be reasonable in geographic scope and temporal duration, to advance a legitimate economic interest of Employer, and no broader than reasonable to protect Employer's Protected Interests, with its time and territory sized to Employee's actual role and Employer's actual market. If Employer has identified specific competitors in Cover Terms under Specified Competitors, the parties intend this covenant to be understood and enforced as limited to those named competitors. The parties intend this covenant to be enforceable as written, with its enforceable scope drawn into it at the outset rather than left to later judicial revision.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This covenant is drawn no broader than reasonable to advance Employer's Protected Interests.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this agreement does not restrict, and shall not be read or enforced to restrict, Employee's right to practice medicine in a particular locale or for a defined period of time after termination of this agreement. Any provision of this agreement that would restrict a physician's right to practice medicine in a particular locale or for a defined period after termination is void under 6 Del. C. § 2707, and is severed and given no effect. All other provisions of this agreement remain enforceable, including provisions requiring the payment of damages in an amount reasonably related to the injury suffered by reason of termination, which may include damages related to competition. Any damages provision applicable to a physician is kept separate from any practice restraint, is void as to any practice restriction, and is tied to actual injury reasonably related to termination.</w:t>
      </w:r>
    </w:p>
    <w:p>
      <w:r>
        <w:t xml:space="preserve">{IF noncompete_included}</w:t>
      </w:r>
    </w:p>
    <w:p>
      <w:pPr>
        <w:pStyle w:val="OABody"/>
        <w:keepNext/>
        <w:numPr>
          <w:ilvl w:val="0"/>
          <w:numId w:val="1"/>
        </w:numPr>
        <w:spacing w:before="320" w:after="120" w:line="340" w:lineRule="auto"/>
        <w:jc w:val="left"/>
      </w:pPr>
      <w:r>
        <w:rPr>
          <w:b/>
          <w:bCs/>
        </w:rPr>
        <w:t xml:space="preserve">Home Inspector Trainee Carve-Out</w:t>
      </w:r>
    </w:p>
    <w:p>
      <w:pPr>
        <w:pStyle w:val="OABody"/>
        <w:spacing w:before="0" w:after="120" w:line="340" w:lineRule="auto"/>
        <w:ind w:left="720"/>
      </w:pPr>
      <w:r>
        <w:t xml:space="preserve">If Employee is registered as a home inspector trainee, this agreement does not require, and shall not be read or enforced to require, Employee to execute a covenant not to compete with a supervising licensed home inspector, or to pay any fee, charge, or other thing of value to a supervising licensed home inspector, as a condition of satisfying the home inspector trainee requirements. Any non-competition covenant in this agreement is void and of no effect under 24 Del. C. § 4109(d) as applied to Employee in that trainee capacity with respect to a supervising licensed home inspector. This carve-out does not alter the covenants as applied to any other worker.</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including any restrictive covenant or forfeiture-for-competition condition from a prior employer or equity arrangement.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 The parties do not intend an open-ended or indefinite extension, and any extension is limited to a period no longer than reasonable to protect Employer's Protected Interests.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including relief under the Delaware Uniform Trade Secrets Act (6 Del. C. § 2002) for actual or threatened misappropriation of a trade secret, independent of any covenant.</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 so that a court's refusal to enforce one covenant does not affect the others, and a sound non-solicit or confidentiality term can survive a failed non-compete.</w:t>
      </w:r>
    </w:p>
    <w:p>
      <w:pPr>
        <w:pStyle w:val="OABody"/>
        <w:keepNext/>
        <w:numPr>
          <w:ilvl w:val="0"/>
          <w:numId w:val="1"/>
        </w:numPr>
        <w:spacing w:before="320" w:after="120" w:line="340" w:lineRule="auto"/>
        <w:jc w:val="left"/>
      </w:pPr>
      <w:r>
        <w:rPr>
          <w:b/>
          <w:bCs/>
        </w:rPr>
        <w:t xml:space="preserve">Enforceable Scope Drawn at the Outset</w:t>
      </w:r>
    </w:p>
    <w:p>
      <w:pPr>
        <w:pStyle w:val="OABody"/>
        <w:spacing w:before="0" w:after="120" w:line="340" w:lineRule="auto"/>
        <w:ind w:left="720"/>
      </w:pPr>
      <w:r>
        <w:t xml:space="preserve">The parties do not rely on judicial blue-penciling or on any savings clause to cure overreach. The actual enforceable scope of each restraint — the Protected Interests served, the restricted activities, the customer set, the territory, and the duration — is drawn into this agreement at the outset, and each covenant is intended to be enforceable as written rather than in reliance on judicial revision. Nothing in this section requests a court to reform an overbroad restraint, and the parties intend any restraint broader than reasonable to be treated as already lost rather than saved.</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and reads on its own definite schedule.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 The parties intend that the governing-law and venue choices match where Employee actually lives and works, and do not treat a Delaware choice-of-law selection as a universal workaround for another state's non-compete restrictions.</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because an amendment that re-papers a covenant is a new formation event, the parties intend to record what value moved at each signing.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(Delaware)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