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Kentucky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Kentucky covenant may protect under the common-law fair-protection standard, namely Employer's Confidential Information, Employer's trade secrets as defined by the Kentucky Uniform Trade Secrets Act (KRS 365.880(4)),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sized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afford only fair protection to Employer's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(KRS 216.724). Any covenant in this agreement that would otherwise restrain Employee's employment opportunities is of no force or effect as to Employee, and the exclusion in this section controls over any contrary provision.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 so that Employer receives the benefit of the full duration of the restriction. Any extension under this section is a separate, breach-tied, bounded restraint; the parties do not intend an open-ended or indefinite extension, and do not assume that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Kentucky Uniform Trade Secrets Act, KRS 365.880 through 365.900,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that a court reform or amend it to the extent necessary to render it enforceable rather than declining to enforce it.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 clause selecting Kentucky law is intended to be paired with a genuine connection to Kentucky and a covenant reasonable on its own terms, and the parties do not treat the choice-of-law clause as automatically dispositive.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