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{signed_after_employment_started}</w:t>
            </w:r>
          </w:p>
        </w:tc>
      </w:tr>
      <w:tr>
        <w:tc>
          <w:tcPr>
            <w:tcW w:w="3600" w:type="dxa"/>
            <w:tcMar>
              <w:top w:w="60" w:type="dxa"/>
              <w:left w:w="345" w:type="dxa"/>
              <w:bottom w:w="60" w:type="dxa"/>
              <w:right w:w="0" w:type="dxa"/>
            </w:tcMar>
          </w:tcPr>
          <w:p>
            <w:r>
              <w:t xml:space="preserve">{IF new_consideration_description}</w:t>
            </w:r>
            <w:r>
              <w:rPr>
                <w:rFonts w:ascii="Arial" w:hAnsi="Arial" w:cs="Arial"/>
                <w:i/>
                <w:iCs/>
                <w:color w:val="494A4B"/>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{new_consideration_description}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Kentucky covenant may protect under the common-law fair-protection standard, namely Employer's Confidential Information, Employer's trade secrets as defined by the Kentucky Uniform Trade Secrets Act (KRS 365.880(4)),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each covenant is meant to guard Employer's Confidential Information, trade secrets, and customer goodwill and not to eliminate ordinary competition, and that Employer would not provide Employee with access to these Protected Interests absent the protections in this agreement. Each covenant is intended to be reasonable in time, territory, and scope, to impose no undue hardship on Employee, and to cause no injury to the public.</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are supported by independent, new consideration beyond continued at-will employment. For any such mid-employment covenant, the specific new value exchanged — for example a bonus, a raise, a promotion, or specialized training — is identified in Cover Terms under New Consideration Provided and was actually delivered to Employee.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efforts to maintain the secrecy of its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it is sized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The parties intend this covenant to afford only fair protection to Employer's interests, to impose no undue hardship on Employee, and to cause no injury to the public,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This covenant is a post-employment restraint drawn no broader than necessary to protect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Services Agency and Temporary Direct Care Staff</w:t>
      </w:r>
    </w:p>
    <w:p>
      <w:pPr>
        <w:pStyle w:val="OABody"/>
        <w:spacing w:before="0" w:after="120" w:line="340" w:lineRule="auto"/>
        <w:ind w:left="720"/>
      </w:pPr>
      <w:r>
        <w:t xml:space="preserve">Notwithstanding any other provision of this agreement,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(KRS 216.724). Any covenant in this agreement that would otherwise restrain Employee's employment opportunities is of no force or effect as to Employee, and the exclusion in this section controls over any contrary provision.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 so that Employer receives the benefit of the full duration of the restriction. Any extension under this section is a separate, breach-tied, bounded restraint; the parties do not intend an open-ended or indefinite extension, and do not assume that a court will revive an expired covenant.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Kentucky Uniform Trade Secrets Act, KRS 365.880 through 365.900, under which actual or threatened misappropriation of a trade secret may be enjoined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If any restraint in this agreement is found to be overbroad, Employer requests that a court reform or amend it to the extent necessary to render it enforceable rather than declining to enforce it. Each restrictive covenant in this agreement is drawn as a tiered, severable, reasonable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is separate and independently enforceable.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agreement, including the restrictive covenants, binds and benefits the parties' respective successors and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 clause selecting Kentucky law is intended to be paired with a genuine connection to Kentucky and a covenant reasonable on its own terms, and the parties do not treat the choice-of-law clause as automatically dispositive.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restrictive covenant added by amendment is supported by independent, new consideration of its own beyond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