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Mass. Gen. Laws ch. 149, § 24L(b)(iii) permits a noncompetition agreement to protect: Employer's trade secrets, Employer's Confidential Information that would not otherwise qualify as a trade secret, and Employer's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one or more of the legitimate business interests that Mass. Gen. Laws ch. 149, § 24L(b)(iii) permits a noncompetition agreement to protect: (A) Employer's trade secrets; (B) Employer's Confidential Information that would not otherwise qualify as a trade secret; or (C) Employer's goodwill. The parties acknowledge that, under Massachusetts law, protection from ordinary competition is not a legitimate business interest.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(Mass. Gen. Laws ch. 149, § 24L(b)(i)).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(Mass. Gen. Laws ch. 149, § 24L(b)(ii)). Employee acknowledges that the restrictions in this agreement are reasonable and necessary to protect Employer's Protected Interests. If the employment relationship later changes materially, Employer may ask Employee to execute a new agreement that complies with the statute then in effect.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Massachusetts law, including the Massachusetts Uniform Trade Secrets Act, Mass. Gen. Laws ch. 93, §§ 42–42G.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is a covenant not to solicit Employer's customers, clients, or vendors and, under Mass. Gen. Laws ch. 149, § 24L(a), it is not a noncompetition agreement subject to that section's garden-leave, duration, and notice requirements; it is governed by common-law reasonableness and protects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As a covenant not to transact business with Employer's customers, clients, or vendors, this restriction is excluded from the Massachusetts Noncompetition Agreement Act by Mass. Gen. Laws ch. 149, § 24L(a) and is governed by common-law reasonableness; it protects Employer's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the Massachusetts Noncompetition Agreement Act, Mass. Gen. Laws ch. 149, § 24L. It is no broader than necessary to protect Employer's Protected Interests, and the Restricted Period for this covenant does not exceed 12 months from the cessation of employment, except that it may extend to no more than 2 years from cessation if Employee has breached a fiduciary duty to Employer or has unlawfully taken, physically or electronically, property belonging to Employer (Mass. Gen. Laws ch. 149, § 24L(b)(iv)). This covenant is supported by the garden leave clause or other mutually-agreed upon consideration stated in Cover Terms (Mass. Gen. Laws ch. 149, § 24L(b)(vii)), and is subject to the worker exemptions stated below. The Restricted Territory is intended to be reasonable in geographic reach, and the Competitive Business is intended to be reasonable in the scope of proscribed activities, each in relation to the Protected Interests (Mass. Gen. Laws ch. 149, § 24L(b)(v)–(vi)); this covenant is intended to be consonant with public policy (Mass. Gen. Laws ch. 149, § 24L(b)(viii)). Consistent with Massachusetts common law, a covenant not to compete is enforceable only if it is necessary to protect a legitimate business interest, reasonably limited in time and space, and consonant with the public interest.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This noncompetition agreement is supported by the garden leave clause or other mutually-agreed upon consideration stated in Cover Terms, as required by Mass. Gen. Laws ch. 149, § 24L(b)(vii). A qualifying garden leave clause provides for the payment to Employee, on a pro-rata basis during the entirety of the Restricted Period for the non-compete and consistent with the wage-payment requirements of Mass. Gen. Laws ch. 149, § 148, of at least 50 percent of Employee's highest annualized base salary paid by Employer within the 2 years preceding the cessation of employment. Where the parties instead agree to other mutually-agreed upon consideration, that consideration is the amount stated in Cover Terms. Because the statute does not define consideration other than garden leave, the consideration is intended to be sized conservatively against the garden-leave benchmark.</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is not enforceable against, and does not apply to, Employee if Employee falls within any category against which Mass. Gen. Laws ch. 149, § 24L(c) makes a noncompetition agreement unenforceable: (i) an employee classified as nonexempt under the Fair Labor Standards Act, 29 U.S.C. §§ 201–219; (ii) an undergraduate or graduate student engaged in an internship or other short-term employment relationship while enrolled in a full-time or part-time educational program; (iii) an employee who has been terminated without cause or laid off; or (iv) an employee age 18 or younger. For purposes of this section and Mass. Gen. Laws ch. 149, § 24L, the term employee includes an independent contractor under Mass. Gen. Laws ch. 149, § 148B. The other restrictive covenants in this agreement remain in effect to the extent they are otherwise enforceable.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To the extent this covenant restricts Employee from engaging in activities competitive with Employer after employment ends — for example, serving as a director, officer, manager, or advisor to a Competitive Business — it is a noncompetition agreement under Mass. Gen. Laws ch. 149, § 24L and applies only on the same terms as the non-compete in this agreement, including the garden leave or other agreed consideration, the 12-month duration cap, and the worker exemptions stated above; it does not restrict Passive Public Holdings.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(Mass. Gen. Laws ch. 112, § 12X), a registered or practical nurse (Mass. Gen. Laws ch. 112, § 74D), a licensed psychologist (Mass. Gen. Laws ch. 112, § 129B), or a licensed social worker (Mass. Gen. Laws ch. 112, § 135C).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a violation of that prohibition exposes Employer to the affected Employee's reasonable attorneys' fees and costs (Mass. Gen. Laws ch. 149, § 186).</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the non-compete, no extension under this section may cause the Restricted Period to run beyond the latest point permitted by Mass. Gen. Laws ch. 149, § 24L(b)(iv) — that is, beyond 12 months from the cessation of employment, or beyond 2 years from the cessation of employment only where Employee has breached a fiduciary duty to Employer or has unlawfully taken, physically or electronically, property belonging to Employer. Because Massachusetts courts will not equitably extend a noncompetition restraint beyond its stated term, this express provision is the parties' agreed mechanism for any extension during a breach, and it cannot lengthen the non-compete beyond that statutory ceiling.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Mass. Gen. Laws ch. 149, § 24L(d), a court may, in its discretion, reform or otherwise revise a noncompetition agreement so as to render it valid and enforceable to the extent necessary to protect Employer's applicable legitimate business interests, and Employer requests such reformation if any restraint in this agreement is found to be overbroad. Because that reformation power is discretionary, the parties intend each restrictive covenant in this agreement to be drawn no broader than necessary and to be independently enforceable, rather than to rely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The Employer named in this agreement is the entity that actually employs Employee. Because Mass. Gen. Laws ch. 149, § 24L governs an agreement between an employer and an employee, the noncompetition obligations run to and are enforceable by that employing entity, and are not intended to be enforced by a parent, holding company, or affiliate that is not Employee's employer.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Massachusetts Noncompetition Agreement Act, Mass. Gen. Laws ch. 149, § 24L, for agreements entered into on or after October 1, 2018. No choice-of-law provision shall be applied to avoid the requirements of Mass. Gen. Laws ch. 149, § 24L if Employee is, and has been for at least 30 days immediately preceding the cessation of employment, a resident of or employed in Massachusetts. All civil actions relating to the noncompetition agreement in this agreement shall be brought in the county where Employee resides or, if Employer and Employee mutually agree, in Suffolk County, as required by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