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{montana_consideration}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definition is kept close to information that is genuinely not public and commercially valuable so that it does not operate as a restraint on Employee's practice of the trade.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specific customers, patients, and referral sources, its workforce stability, and its goodwill, each of which Employer must be able to prove as a real protective interest that ordinary competition alone does not establish.</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tested against the market in which Employee could realistically practice the trade rather than against a nominal map.</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Montana Uniform Trade Secrets Act, Mont. Code Ann. § 30-14-402(4):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Each restrictive covenant in this agreement is intended to operate as a partial restraint — one that leaves Employee a realistic way to continue practicing the profession, trade, or business while regulating a limited client set, territory, time, or fee consequence — and not as an absolute prohibition on Employee's trade. Each covenant is limited in operation as to time or place, is based on good consideration, and is drawn to afford reasonable protection for Employer's Protected Interests without imposing an unreasonable burden on Employee or the public. Employer would not provide Employee with access to its Protected Interests absent these covenants, and each covenant is drawn no broader than required to protect a legitimate business interest that Employer must be able to prove on the facts.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parties agree that this agreement is supported by good and independent consideration, and specifically that it does not rely on continued at-will employment alone. Where this agreement is signed after Employee's employment has begun, the consideration for the restrictive covenants is </w:t>
      </w:r>
      <w:r>
        <w:rPr>
          <w:highlight w:val="yellow"/>
        </w:rPr>
        <w:t xml:space="preserve">{montana_consideration}</w:t>
      </w:r>
      <w:r>
        <w:t xml:space="preserve">, given specifically in exchange for those covenants and documented at signing; where this agreement is presented as part of pre-employment negotiations, the offer of employment is the consideration.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is a distinct promise, sized to a lawful scope on its own, and is intended to stand whether or not any other restraint in this agreement is enforceable.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records, as of its date, what Employee retained and what Employee returned or deleted.</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as a partial restraint limited to colleagues Employee actually worked with or managed, and it does not operate as a hiring ban across Employer's whole workforce.</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as a partial restraint: it is keyed to clients Employee actually served and limited to active outreach rather than forbidding all contact, and it protects Employer's legitimate business interest in its relationships with specific customers, patients, referral sources, and business partners. It is sized to the clients Employee actually served and to a stated period.</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forbidding Employee to perform the trade for a market segment edges toward an absolute prohibition, this covenant is drawn as a deliberate, narrow restraint keyed to a tight class of Covered Customers, and it must leave Employee a realistic way to continue practicing the trade.</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and, where Specified Competitors are named in Cover Terms, this covenant binds only those named competitors. This covenant is drawn as a partial restraint: it leaves Employee free to practice the profession, trade, or business generally, and the Restricted Territory is limited to the market in which Employee actually provided services so that Employee retains a realistic way to practice. It is limited in operation as to time or place, supported by good consideration, and drawn to afford reasonable protection for Employer without an unreasonable burden on Employee or the public. Passive Public Holdings are permitted. This covenant does not apply to a covered health-care provider to the extent Mont. Code Ann. § 28-2-724 so provides, as stated in the Health-Care Provider Restrictions section.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a restriction that reaches how Employee practices or earns in the trade is itself a restraint on the trade, this covenant is drawn as a partial restraint that does not bar Employee from practicing the trade, and it does not apply to a covered health-care provider to the extent Mont. Code Ann. § 28-2-724 so provides.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Health-Care Provider Restrictions (Mont. Code Ann. § 28-2-724)</w:t>
      </w:r>
    </w:p>
    <w:p>
      <w:pPr>
        <w:pStyle w:val="OABody"/>
        <w:numPr>
          <w:ilvl w:val="1"/>
          <w:numId w:val="1"/>
        </w:numPr>
        <w:spacing w:before="0" w:after="120" w:line="340" w:lineRule="auto"/>
      </w:pPr>
      <w:r>
        <w:t xml:space="preserve">If Employee is a health-care provider covered by Mont. Code Ann. § 28-2-724, then, notwithstanding any other provision of this agreement, this agreement does not and may not restrict Employee's right, after the employment, partnership, or other professional relationship ends, to (a) practice or provide services for which Employee is licensed, in any geographic area and for any period; (b) treat, advise, consult with, or establish a provider-patient relationship with any current patient of Employer; or (c) solicit or seek to establish a provider-patient relationship with any such patient. This bar reaches practice restrictions and patient non-solicits alike, so a non-compete recast as a patient non-solicit does not escape it, and any covenant in this agreement is void to that extent against a covered provider.</w:t>
      </w:r>
    </w:p>
    <w:p>
      <w:pPr>
        <w:pStyle w:val="OABody"/>
        <w:numPr>
          <w:ilvl w:val="1"/>
          <w:numId w:val="1"/>
        </w:numPr>
        <w:spacing w:before="0" w:after="120" w:line="340" w:lineRule="auto"/>
      </w:pPr>
      <w:r>
        <w:t xml:space="preserve">Coverage is phased by when the contract was made or renewed, and the covered classes are those listed in Mont. Code Ann. § 28-2-724(2) as in effect on that date. The classes covered before the 2025 amendments are psychologists, social workers, professional counselors, addiction counselors, marriage and family therapists, and behavioral health peer support specialists. Naturopathic physicians, registered professional nurses, advanced practice registered nurses, and physician assistants are covered for contracts made or renewed on or after April 16, 2025, and all physicians licensed under Title 37, chapter 3 are covered for contracts made or renewed on or after January 1, 2026.</w:t>
      </w:r>
    </w:p>
    <w:p>
      <w:pPr>
        <w:pStyle w:val="OABody"/>
        <w:numPr>
          <w:ilvl w:val="1"/>
          <w:numId w:val="1"/>
        </w:numPr>
        <w:spacing w:before="0" w:after="120" w:line="340" w:lineRule="auto"/>
      </w:pPr>
      <w:r>
        <w:t xml:space="preserve">Two statutory exceptions apply under Mont. Code Ann. § 28-2-724(3): a covenant in connection with the sale and purchase of a practice, and, for a physician only, a provision for repayment of money paid or advanced (such as a bona fide loan, relocation cost, signing bonus, or education or tuition expense) that is subject to a payback schedule decreasing over time.</w:t>
      </w:r>
    </w:p>
    <w:p>
      <w:pPr>
        <w:pStyle w:val="OABody"/>
        <w:keepNext/>
        <w:numPr>
          <w:ilvl w:val="0"/>
          <w:numId w:val="1"/>
        </w:numPr>
        <w:spacing w:before="320" w:after="120" w:line="340" w:lineRule="auto"/>
        <w:jc w:val="left"/>
      </w:pPr>
      <w:r>
        <w:rPr>
          <w:b/>
          <w:bCs/>
        </w:rPr>
        <w:t xml:space="preserve">Sale-of-Goodwill and Partnership-Dissolution Exception Covenants</w:t>
      </w:r>
    </w:p>
    <w:p>
      <w:pPr>
        <w:pStyle w:val="OABody"/>
        <w:spacing w:before="0" w:after="120" w:line="340" w:lineRule="auto"/>
        <w:ind w:left="720"/>
      </w:pPr>
      <w:r>
        <w:t xml:space="preserve">This agreement is an employee restrictive covenant agreement and includes no covenant made in connection with the sale of the goodwill of a business under Mont. Code Ann. § 28-2-704 or the dissolution of a partnership under Mont. Code Ann. § 28-2-705. Any such covenant added to this agreement is limited to the geographic areas Mont. Code Ann. § 28-2-704(2) permits.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Employee's separation, and who initiated it, must be recorded so the manner of separation is visible on the face of the agreement. Employer will not seek to enforce a restrictive covenant against Employee after an employer-initiated separation — a layoff, nonrenewal, or termination without cause — unless Employer can prove that Employee used trade secrets, customer relationships, or proprietary information that would provide an unfair advantage.</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 covenant Employer could actually enforce on the facts of the separation. Employee consents to such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a court applies Montana law and permits an extension, and only to the extent permitted, the Restricted Period for a breached covenant is extended by the duration of the breach. Any such extension is itself part of the restraint and is subject to the same time limit and reasonableness that apply to the covenant it stretches, and in no event does this provision allow a restraint to run indefinitely through repeated extensions.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Separately, and independently of any covenant, the Montana Uniform Trade Secrets Act authorizes an injunction against actual or threatened misappropriation of trade secrets under Mont. Code Ann. § 30-14-403. If any provision awards attorney fees, that award applies on a mutual, prevailing-party basis; otherwise the American Rule applies.</w:t>
      </w:r>
    </w:p>
    <w:p>
      <w:pPr>
        <w:pStyle w:val="OABody"/>
        <w:keepNext/>
        <w:numPr>
          <w:ilvl w:val="0"/>
          <w:numId w:val="1"/>
        </w:numPr>
        <w:spacing w:before="320" w:after="120" w:line="340" w:lineRule="auto"/>
        <w:jc w:val="left"/>
      </w:pPr>
      <w:r>
        <w:rPr>
          <w:b/>
          <w:bCs/>
        </w:rPr>
        <w:t xml:space="preserve">Distinct, Severable Promises (No Judicial Reformation)</w:t>
      </w:r>
    </w:p>
    <w:p>
      <w:pPr>
        <w:pStyle w:val="OABody"/>
        <w:spacing w:before="0" w:after="120" w:line="340" w:lineRule="auto"/>
        <w:ind w:left="720"/>
      </w:pPr>
      <w:r>
        <w:t xml:space="preserve">Each restrictive covenant in this agreement is a distinct object, sized to a lawful scope at the outset, and is intended to be independently enforceable as written. The parties do not rely on any court to narrow, blue-pencil, or reform an overbroad restraint into a lawful one. Under Mont. Code Ann. § 28-2-604, where a contract has several distinct objects, at least one lawful and one unlawful, the contract is void as to the unlawful object and valid as to the rest. The confidentiality, trade-secret, customer, competition, and any repayment provisions are therefore drafted as separate promises so that the lawful promises stand on their own if a restraint fails.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expires on its own schedule and reads on its own. Obligations under the Confidential Information and Trade Secret Protection section survive indefinitely to the extent they relate to trade secrets. Each covenant survives on its own so that a restraint that falls does not entangle the lawful promises.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enforces subject to the same statute and the same legitimate-interest showing, and a successor that ends Employee's employment itself takes on the employer-initiated-termination posture described above.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Montana law governs, this agreement answers to Mont. Code Ann. § 28-2-703 and Montana's partial-restraint framework.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 mid-employment amendment that adds or expands a restrictive covenant is supported by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