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docProps/core.xml" ContentType="application/vnd.openxmlformats-package.core-properties+xml"/>
  <Override PartName="/docProps/app.xml" ContentType="application/vnd.openxmlformats-officedocument.extended-properties+xml"/>
  <Override PartName="/word/numbering.xml" ContentType="application/vnd.openxmlformats-officedocument.wordprocessingml.numbering+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styles.xml" ContentType="application/vnd.openxmlformats-officedocument.wordprocessingml.styles+xml"/>
  <Override PartName="/word/theme/theme1.xml" ContentType="application/vnd.openxmlformats-officedocument.theme+xml"/>
  <Override PartName="/word/fontTable.xml" ContentType="application/vnd.openxmlformats-officedocument.wordprocessingml.fontTable+xml"/>
  <Override PartName="/word/webSettings.xml" ContentType="application/vnd.openxmlformats-officedocument.wordprocessingml.webSettings+xml"/>
</Types>
</file>

<file path=_rels/.rels><?xml version="1.0" encoding="UTF-8" standalone="yes"?><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s>
</file>

<file path=word/document.xml><?xml version="1.0" encoding="utf-8"?>
<w:document xmlns:w="http://schemas.openxmlformats.org/wordprocessingml/2006/main" xmlns:r="http://schemas.openxmlformats.org/officeDocument/2006/relationships" xmlns:w14="http://schemas.microsoft.com/office/word/2010/wordml">
  <w:body>
    <w:p>
      <w:pPr>
        <w:pStyle w:val="OATitle"/>
      </w:pPr>
      <w:r>
        <w:t xml:space="preserve">Employee Restrictive Covenant Agreement</w:t>
      </w:r>
    </w:p>
    <w:p>
      <w:pPr>
        <w:pStyle w:val="OASectionHeading"/>
      </w:pPr>
      <w:r>
        <w:t xml:space="preserve">Cover Terms</w:t>
      </w:r>
    </w:p>
    <w:p>
      <w:pPr>
        <w:pStyle w:val="OABody"/>
      </w:pPr>
      <w:r>
        <w:t xml:space="preserve">The terms below are incorporated into and form part of this agreement.</w:t>
      </w:r>
    </w:p>
    <w:tbl>
      <w:tblPr>
        <w:tblW w:w="10080" w:type="dxa"/>
        <w:tblBorders>
          <w:top w:val="single" w:sz="4" w:space="0" w:color="C7C7C7"/>
          <w:left w:val="none" w:sz="0" w:space="0" w:color="auto"/>
          <w:bottom w:val="single" w:sz="4" w:space="0" w:color="C7C7C7"/>
          <w:right w:val="none" w:sz="0" w:space="0" w:color="auto"/>
          <w:insideH w:val="single" w:sz="4" w:space="0" w:color="C7C7C7"/>
          <w:insideV w:val="none" w:sz="0" w:space="0" w:color="auto"/>
        </w:tblBorders>
        <w:tblLayout w:type="fixed"/>
      </w:tblPr>
      <w:tblGrid>
        <w:gridCol w:w="3600"/>
        <w:gridCol w:w="6480"/>
      </w:tblGrid>
      <w:tr>
        <w:tc>
          <w:tcPr>
            <w:tcW w:w="3600" w:type="dxa"/>
            <w:tcMar>
              <w:top w:w="60" w:type="dxa"/>
              <w:left w:w="0" w:type="dxa"/>
              <w:bottom w:w="60" w:type="dxa"/>
              <w:right w:w="0" w:type="dxa"/>
            </w:tcMar>
          </w:tcPr>
          <w:p>
            <w:r>
              <w:rPr>
                <w:rFonts w:ascii="Arial" w:hAnsi="Arial" w:cs="Arial"/>
                <w:b/>
                <w:bCs/>
                <w:color w:val="1D2021"/>
                <w:sz w:val="22"/>
                <w:szCs w:val="22"/>
              </w:rPr>
              <w:t xml:space="preserve">Employer</w:t>
            </w:r>
          </w:p>
        </w:tc>
        <w:tc>
          <w:tcPr>
            <w:tcW w:w="6480" w:type="dxa"/>
            <w:tcMar>
              <w:top w:w="60" w:type="dxa"/>
              <w:left w:w="0" w:type="dxa"/>
              <w:bottom w:w="60" w:type="dxa"/>
              <w:right w:w="0" w:type="dxa"/>
            </w:tcMar>
          </w:tcPr>
          <w:p>
            <w:r>
              <w:rPr>
                <w:rFonts w:ascii="Arial" w:hAnsi="Arial" w:cs="Arial"/>
                <w:color w:val="1D2021"/>
                <w:sz w:val="22"/>
                <w:szCs w:val="22"/>
                <w:highlight w:val="yellow"/>
              </w:rPr>
              <w:t xml:space="preserve">{employer_name}</w:t>
            </w:r>
          </w:p>
        </w:tc>
      </w:tr>
      <w:tr>
        <w:tc>
          <w:tcPr>
            <w:tcW w:w="3600" w:type="dxa"/>
            <w:tcMar>
              <w:top w:w="60" w:type="dxa"/>
              <w:left w:w="0" w:type="dxa"/>
              <w:bottom w:w="60" w:type="dxa"/>
              <w:right w:w="0" w:type="dxa"/>
            </w:tcMar>
          </w:tcPr>
          <w:p>
            <w:r>
              <w:rPr>
                <w:rFonts w:ascii="Arial" w:hAnsi="Arial" w:cs="Arial"/>
                <w:b/>
                <w:bCs/>
                <w:color w:val="1D2021"/>
                <w:sz w:val="22"/>
                <w:szCs w:val="22"/>
              </w:rPr>
              <w:t xml:space="preserve">Employee</w:t>
            </w:r>
          </w:p>
        </w:tc>
        <w:tc>
          <w:tcPr>
            <w:tcW w:w="6480" w:type="dxa"/>
            <w:tcMar>
              <w:top w:w="60" w:type="dxa"/>
              <w:left w:w="0" w:type="dxa"/>
              <w:bottom w:w="60" w:type="dxa"/>
              <w:right w:w="0" w:type="dxa"/>
            </w:tcMar>
          </w:tcPr>
          <w:p>
            <w:r>
              <w:rPr>
                <w:rFonts w:ascii="Arial" w:hAnsi="Arial" w:cs="Arial"/>
                <w:color w:val="1D2021"/>
                <w:sz w:val="22"/>
                <w:szCs w:val="22"/>
                <w:highlight w:val="yellow"/>
              </w:rPr>
              <w:t xml:space="preserve">{employee_name}</w:t>
            </w:r>
          </w:p>
        </w:tc>
      </w:tr>
      <w:tr>
        <w:tc>
          <w:tcPr>
            <w:tcW w:w="3600" w:type="dxa"/>
            <w:tcMar>
              <w:top w:w="60" w:type="dxa"/>
              <w:left w:w="0" w:type="dxa"/>
              <w:bottom w:w="60" w:type="dxa"/>
              <w:right w:w="0" w:type="dxa"/>
            </w:tcMar>
          </w:tcPr>
          <w:p>
            <w:r>
              <w:t xml:space="preserve">{IF employee_title}</w:t>
            </w:r>
            <w:r>
              <w:rPr>
                <w:rFonts w:ascii="Arial" w:hAnsi="Arial" w:cs="Arial"/>
                <w:b/>
                <w:bCs/>
                <w:color w:val="1D2021"/>
                <w:sz w:val="22"/>
                <w:szCs w:val="22"/>
              </w:rPr>
              <w:t xml:space="preserve">Employee Title / Position</w:t>
            </w:r>
          </w:p>
        </w:tc>
        <w:tc>
          <w:tcPr>
            <w:tcW w:w="6480" w:type="dxa"/>
            <w:tcMar>
              <w:top w:w="60" w:type="dxa"/>
              <w:left w:w="0" w:type="dxa"/>
              <w:bottom w:w="60" w:type="dxa"/>
              <w:right w:w="0" w:type="dxa"/>
            </w:tcMar>
          </w:tcPr>
          <w:p>
            <w:r>
              <w:rPr>
                <w:rFonts w:ascii="Arial" w:hAnsi="Arial" w:cs="Arial"/>
                <w:color w:val="1D2021"/>
                <w:sz w:val="22"/>
                <w:szCs w:val="22"/>
                <w:highlight w:val="yellow"/>
              </w:rPr>
              <w:t xml:space="preserve">{employee_title}</w:t>
            </w:r>
            <w:r>
              <w:t xml:space="preserve">{END-IF}</w:t>
            </w:r>
          </w:p>
        </w:tc>
      </w:tr>
      <w:tr>
        <w:tc>
          <w:tcPr>
            <w:tcW w:w="3600" w:type="dxa"/>
            <w:tcMar>
              <w:top w:w="60" w:type="dxa"/>
              <w:left w:w="0" w:type="dxa"/>
              <w:bottom w:w="60" w:type="dxa"/>
              <w:right w:w="0" w:type="dxa"/>
            </w:tcMar>
          </w:tcPr>
          <w:p>
            <w:r>
              <w:rPr>
                <w:rFonts w:ascii="Arial" w:hAnsi="Arial" w:cs="Arial"/>
                <w:b/>
                <w:bCs/>
                <w:color w:val="1D2021"/>
                <w:sz w:val="22"/>
                <w:szCs w:val="22"/>
              </w:rPr>
              <w:t xml:space="preserve">Effective Date</w:t>
            </w:r>
          </w:p>
        </w:tc>
        <w:tc>
          <w:tcPr>
            <w:tcW w:w="6480" w:type="dxa"/>
            <w:tcMar>
              <w:top w:w="60" w:type="dxa"/>
              <w:left w:w="0" w:type="dxa"/>
              <w:bottom w:w="60" w:type="dxa"/>
              <w:right w:w="0" w:type="dxa"/>
            </w:tcMar>
          </w:tcPr>
          <w:p>
            <w:r>
              <w:rPr>
                <w:rFonts w:ascii="Arial" w:hAnsi="Arial" w:cs="Arial"/>
                <w:color w:val="1D2021"/>
                <w:sz w:val="22"/>
                <w:szCs w:val="22"/>
                <w:highlight w:val="yellow"/>
              </w:rPr>
              <w:t xml:space="preserve">{effective_date}</w:t>
            </w:r>
          </w:p>
        </w:tc>
      </w:tr>
      <w:tr>
        <w:tc>
          <w:tcPr>
            <w:tcW w:w="3600" w:type="dxa"/>
            <w:tcMar>
              <w:top w:w="60" w:type="dxa"/>
              <w:left w:w="0" w:type="dxa"/>
              <w:bottom w:w="60" w:type="dxa"/>
              <w:right w:w="0" w:type="dxa"/>
            </w:tcMar>
          </w:tcPr>
          <w:p>
            <w:r>
              <w:rPr>
                <w:rFonts w:ascii="Arial" w:hAnsi="Arial" w:cs="Arial"/>
                <w:b/>
                <w:bCs/>
                <w:color w:val="1D2021"/>
                <w:sz w:val="22"/>
                <w:szCs w:val="22"/>
              </w:rPr>
              <w:t xml:space="preserve">Governing Law</w:t>
            </w:r>
          </w:p>
        </w:tc>
        <w:tc>
          <w:tcPr>
            <w:tcW w:w="6480" w:type="dxa"/>
            <w:tcMar>
              <w:top w:w="60" w:type="dxa"/>
              <w:left w:w="0" w:type="dxa"/>
              <w:bottom w:w="60" w:type="dxa"/>
              <w:right w:w="0" w:type="dxa"/>
            </w:tcMar>
          </w:tcPr>
          <w:p>
            <w:r>
              <w:rPr>
                <w:rFonts w:ascii="Arial" w:hAnsi="Arial" w:cs="Arial"/>
                <w:color w:val="1D2021"/>
                <w:sz w:val="22"/>
                <w:szCs w:val="22"/>
                <w:highlight w:val="yellow"/>
              </w:rPr>
              <w:t xml:space="preserve">{governing_law}</w:t>
            </w:r>
          </w:p>
        </w:tc>
      </w:tr>
      <w:tr>
        <w:tc>
          <w:tcPr>
            <w:tcW w:w="10080" w:type="dxa"/>
            <w:gridSpan w:val="2"/>
            <w:tcMar>
              <w:top w:w="60" w:type="dxa"/>
              <w:left w:w="0" w:type="dxa"/>
              <w:bottom w:w="60" w:type="dxa"/>
              <w:right w:w="0" w:type="dxa"/>
            </w:tcMar>
            <w:vAlign w:val="center"/>
          </w:tcPr>
          <w:p>
            <w:r>
              <w:rPr>
                <w:rFonts w:ascii="Arial" w:hAnsi="Arial" w:cs="Arial"/>
                <w:b/>
                <w:bCs/>
                <w:color w:val="1D2021"/>
                <w:sz w:val="22"/>
                <w:szCs w:val="22"/>
              </w:rPr>
              <w:t xml:space="preserve">Confidentiality</w:t>
            </w:r>
          </w:p>
        </w:tc>
      </w:tr>
      <w:tr>
        <w:tc>
          <w:tcPr>
            <w:tcW w:w="3600" w:type="dxa"/>
            <w:tcMar>
              <w:top w:w="60" w:type="dxa"/>
              <w:left w:w="345" w:type="dxa"/>
              <w:bottom w:w="60" w:type="dxa"/>
              <w:right w:w="0" w:type="dxa"/>
            </w:tcMar>
          </w:tcPr>
          <w:p>
            <w:r>
              <w:rPr>
                <w:rFonts w:ascii="Arial" w:hAnsi="Arial" w:cs="Arial"/>
                <w:i/>
                <w:iCs/>
                <w:color w:val="494A4B"/>
                <w:sz w:val="21"/>
                <w:szCs w:val="21"/>
              </w:rPr>
              <w:t xml:space="preserve">Trade Secrets Duration</w:t>
            </w:r>
          </w:p>
        </w:tc>
        <w:tc>
          <w:tcPr>
            <w:tcW w:w="6480" w:type="dxa"/>
            <w:tcMar>
              <w:top w:w="60" w:type="dxa"/>
              <w:left w:w="0" w:type="dxa"/>
              <w:bottom w:w="60" w:type="dxa"/>
              <w:right w:w="0" w:type="dxa"/>
            </w:tcMar>
          </w:tcPr>
          <w:p>
            <w:r>
              <w:rPr>
                <w:rFonts w:ascii="Arial" w:hAnsi="Arial" w:cs="Arial"/>
                <w:i/>
                <w:iCs/>
                <w:color w:val="494A4B"/>
                <w:sz w:val="21"/>
                <w:szCs w:val="21"/>
                <w:highlight w:val="yellow"/>
              </w:rPr>
              <w:t xml:space="preserve">{confidentiality_trade_secret_duration}</w:t>
            </w:r>
          </w:p>
        </w:tc>
      </w:tr>
      <w:tr>
        <w:tc>
          <w:tcPr>
            <w:tcW w:w="3600" w:type="dxa"/>
            <w:tcMar>
              <w:top w:w="60" w:type="dxa"/>
              <w:left w:w="345" w:type="dxa"/>
              <w:bottom w:w="60" w:type="dxa"/>
              <w:right w:w="0" w:type="dxa"/>
            </w:tcMar>
          </w:tcPr>
          <w:p>
            <w:r>
              <w:rPr>
                <w:rFonts w:ascii="Arial" w:hAnsi="Arial" w:cs="Arial"/>
                <w:i/>
                <w:iCs/>
                <w:color w:val="494A4B"/>
                <w:sz w:val="21"/>
                <w:szCs w:val="21"/>
              </w:rPr>
              <w:t xml:space="preserve">Other Confidential Information Duration</w:t>
            </w:r>
          </w:p>
        </w:tc>
        <w:tc>
          <w:tcPr>
            <w:tcW w:w="6480" w:type="dxa"/>
            <w:tcMar>
              <w:top w:w="60" w:type="dxa"/>
              <w:left w:w="0" w:type="dxa"/>
              <w:bottom w:w="60" w:type="dxa"/>
              <w:right w:w="0" w:type="dxa"/>
            </w:tcMar>
          </w:tcPr>
          <w:p>
            <w:r>
              <w:rPr>
                <w:rFonts w:ascii="Arial" w:hAnsi="Arial" w:cs="Arial"/>
                <w:i/>
                <w:iCs/>
                <w:color w:val="494A4B"/>
                <w:sz w:val="21"/>
                <w:szCs w:val="21"/>
                <w:highlight w:val="yellow"/>
              </w:rPr>
              <w:t xml:space="preserve">{confidentiality_other_duration}</w:t>
            </w:r>
          </w:p>
        </w:tc>
      </w:tr>
      <w:tr>
        <w:tc>
          <w:tcPr>
            <w:tcW w:w="10080" w:type="dxa"/>
            <w:gridSpan w:val="2"/>
            <w:tcMar>
              <w:top w:w="60" w:type="dxa"/>
              <w:left w:w="0" w:type="dxa"/>
              <w:bottom w:w="60" w:type="dxa"/>
              <w:right w:w="0" w:type="dxa"/>
            </w:tcMar>
            <w:vAlign w:val="center"/>
          </w:tcPr>
          <w:p>
            <w:r>
              <w:t xml:space="preserve">{IF employee_nonsolicit_included}</w:t>
            </w:r>
            <w:r>
              <w:rPr>
                <w:rFonts w:ascii="Arial" w:hAnsi="Arial" w:cs="Arial"/>
                <w:b/>
                <w:bCs/>
                <w:color w:val="1D2021"/>
                <w:sz w:val="22"/>
                <w:szCs w:val="22"/>
              </w:rPr>
              <w:t xml:space="preserve">Employee Non-Solicitation</w:t>
            </w:r>
            <w:r>
              <w:t xml:space="preserve">{END-IF}</w:t>
            </w:r>
          </w:p>
        </w:tc>
      </w:tr>
      <w:tr>
        <w:tc>
          <w:tcPr>
            <w:tcW w:w="3600" w:type="dxa"/>
            <w:tcMar>
              <w:top w:w="60" w:type="dxa"/>
              <w:left w:w="345" w:type="dxa"/>
              <w:bottom w:w="60" w:type="dxa"/>
              <w:right w:w="0" w:type="dxa"/>
            </w:tcMar>
          </w:tcPr>
          <w:p>
            <w:r>
              <w:t xml:space="preserve">{IF employee_nonsolicit_included}</w:t>
            </w:r>
            <w:r>
              <w:rPr>
                <w:rFonts w:ascii="Arial" w:hAnsi="Arial" w:cs="Arial"/>
                <w:i/>
                <w:iCs/>
                <w:color w:val="494A4B"/>
                <w:sz w:val="21"/>
                <w:szCs w:val="21"/>
              </w:rPr>
              <w:t xml:space="preserve">Duration</w:t>
            </w:r>
          </w:p>
        </w:tc>
        <w:tc>
          <w:tcPr>
            <w:tcW w:w="6480" w:type="dxa"/>
            <w:tcMar>
              <w:top w:w="60" w:type="dxa"/>
              <w:left w:w="0" w:type="dxa"/>
              <w:bottom w:w="60" w:type="dxa"/>
              <w:right w:w="0" w:type="dxa"/>
            </w:tcMar>
          </w:tcPr>
          <w:p>
            <w:r>
              <w:rPr>
                <w:rFonts w:ascii="Arial" w:hAnsi="Arial" w:cs="Arial"/>
                <w:i/>
                <w:iCs/>
                <w:color w:val="494A4B"/>
                <w:sz w:val="21"/>
                <w:szCs w:val="21"/>
                <w:highlight w:val="yellow"/>
              </w:rPr>
              <w:t xml:space="preserve">{employee_nonsolicit_duration}</w:t>
            </w:r>
            <w:r>
              <w:t xml:space="preserve">{END-IF}</w:t>
            </w:r>
          </w:p>
        </w:tc>
      </w:tr>
      <w:tr>
        <w:tc>
          <w:tcPr>
            <w:tcW w:w="10080" w:type="dxa"/>
            <w:gridSpan w:val="2"/>
            <w:tcMar>
              <w:top w:w="60" w:type="dxa"/>
              <w:left w:w="0" w:type="dxa"/>
              <w:bottom w:w="60" w:type="dxa"/>
              <w:right w:w="0" w:type="dxa"/>
            </w:tcMar>
            <w:vAlign w:val="center"/>
          </w:tcPr>
          <w:p>
            <w:r>
              <w:t xml:space="preserve">{IF customer_nonsolicit_included}</w:t>
            </w:r>
            <w:r>
              <w:rPr>
                <w:rFonts w:ascii="Arial" w:hAnsi="Arial" w:cs="Arial"/>
                <w:b/>
                <w:bCs/>
                <w:color w:val="1D2021"/>
                <w:sz w:val="22"/>
                <w:szCs w:val="22"/>
              </w:rPr>
              <w:t xml:space="preserve">Customer Non-Solicitation</w:t>
            </w:r>
            <w:r>
              <w:t xml:space="preserve">{END-IF}</w:t>
            </w:r>
          </w:p>
        </w:tc>
      </w:tr>
      <w:tr>
        <w:tc>
          <w:tcPr>
            <w:tcW w:w="3600" w:type="dxa"/>
            <w:tcMar>
              <w:top w:w="60" w:type="dxa"/>
              <w:left w:w="345" w:type="dxa"/>
              <w:bottom w:w="60" w:type="dxa"/>
              <w:right w:w="0" w:type="dxa"/>
            </w:tcMar>
          </w:tcPr>
          <w:p>
            <w:r>
              <w:t xml:space="preserve">{IF customer_nonsolicit_included}</w:t>
            </w:r>
            <w:r>
              <w:rPr>
                <w:rFonts w:ascii="Arial" w:hAnsi="Arial" w:cs="Arial"/>
                <w:i/>
                <w:iCs/>
                <w:color w:val="494A4B"/>
                <w:sz w:val="21"/>
                <w:szCs w:val="21"/>
              </w:rPr>
              <w:t xml:space="preserve">Duration</w:t>
            </w:r>
          </w:p>
        </w:tc>
        <w:tc>
          <w:tcPr>
            <w:tcW w:w="6480" w:type="dxa"/>
            <w:tcMar>
              <w:top w:w="60" w:type="dxa"/>
              <w:left w:w="0" w:type="dxa"/>
              <w:bottom w:w="60" w:type="dxa"/>
              <w:right w:w="0" w:type="dxa"/>
            </w:tcMar>
          </w:tcPr>
          <w:p>
            <w:r>
              <w:rPr>
                <w:rFonts w:ascii="Arial" w:hAnsi="Arial" w:cs="Arial"/>
                <w:i/>
                <w:iCs/>
                <w:color w:val="494A4B"/>
                <w:sz w:val="21"/>
                <w:szCs w:val="21"/>
                <w:highlight w:val="yellow"/>
              </w:rPr>
              <w:t xml:space="preserve">{customer_nonsolicit_duration}</w:t>
            </w:r>
            <w:r>
              <w:t xml:space="preserve">{END-IF}</w:t>
            </w:r>
          </w:p>
        </w:tc>
      </w:tr>
      <w:tr>
        <w:tc>
          <w:tcPr>
            <w:tcW w:w="10080" w:type="dxa"/>
            <w:gridSpan w:val="2"/>
            <w:tcMar>
              <w:top w:w="60" w:type="dxa"/>
              <w:left w:w="0" w:type="dxa"/>
              <w:bottom w:w="60" w:type="dxa"/>
              <w:right w:w="0" w:type="dxa"/>
            </w:tcMar>
            <w:vAlign w:val="center"/>
          </w:tcPr>
          <w:p>
            <w:r>
              <w:t xml:space="preserve">{IF noncompete_included}</w:t>
            </w:r>
            <w:r>
              <w:rPr>
                <w:rFonts w:ascii="Arial" w:hAnsi="Arial" w:cs="Arial"/>
                <w:b/>
                <w:bCs/>
                <w:color w:val="1D2021"/>
                <w:sz w:val="22"/>
                <w:szCs w:val="22"/>
              </w:rPr>
              <w:t xml:space="preserve">Non-Competition</w:t>
            </w:r>
            <w:r>
              <w:t xml:space="preserve">{END-IF}</w:t>
            </w:r>
          </w:p>
        </w:tc>
      </w:tr>
      <w:tr>
        <w:tc>
          <w:tcPr>
            <w:tcW w:w="3600" w:type="dxa"/>
            <w:tcMar>
              <w:top w:w="60" w:type="dxa"/>
              <w:left w:w="345" w:type="dxa"/>
              <w:bottom w:w="60" w:type="dxa"/>
              <w:right w:w="0" w:type="dxa"/>
            </w:tcMar>
          </w:tcPr>
          <w:p>
            <w:r>
              <w:t xml:space="preserve">{IF noncompete_included}</w:t>
            </w:r>
            <w:r>
              <w:rPr>
                <w:rFonts w:ascii="Arial" w:hAnsi="Arial" w:cs="Arial"/>
                <w:i/>
                <w:iCs/>
                <w:color w:val="494A4B"/>
                <w:sz w:val="21"/>
                <w:szCs w:val="21"/>
              </w:rPr>
              <w:t xml:space="preserve">Duration</w:t>
            </w:r>
          </w:p>
        </w:tc>
        <w:tc>
          <w:tcPr>
            <w:tcW w:w="6480" w:type="dxa"/>
            <w:tcMar>
              <w:top w:w="60" w:type="dxa"/>
              <w:left w:w="0" w:type="dxa"/>
              <w:bottom w:w="60" w:type="dxa"/>
              <w:right w:w="0" w:type="dxa"/>
            </w:tcMar>
          </w:tcPr>
          <w:p>
            <w:r>
              <w:rPr>
                <w:rFonts w:ascii="Arial" w:hAnsi="Arial" w:cs="Arial"/>
                <w:i/>
                <w:iCs/>
                <w:color w:val="494A4B"/>
                <w:sz w:val="21"/>
                <w:szCs w:val="21"/>
                <w:highlight w:val="yellow"/>
              </w:rPr>
              <w:t xml:space="preserve">{noncompete_duration}</w:t>
            </w:r>
            <w:r>
              <w:t xml:space="preserve">{END-IF}</w:t>
            </w:r>
          </w:p>
        </w:tc>
      </w:tr>
      <w:tr>
        <w:tc>
          <w:tcPr>
            <w:tcW w:w="3600" w:type="dxa"/>
            <w:tcMar>
              <w:top w:w="60" w:type="dxa"/>
              <w:left w:w="345" w:type="dxa"/>
              <w:bottom w:w="60" w:type="dxa"/>
              <w:right w:w="0" w:type="dxa"/>
            </w:tcMar>
          </w:tcPr>
          <w:p>
            <w:r>
              <w:t xml:space="preserve">{IF noncompete_included}</w:t>
            </w:r>
            <w:r>
              <w:rPr>
                <w:rFonts w:ascii="Arial" w:hAnsi="Arial" w:cs="Arial"/>
                <w:i/>
                <w:iCs/>
                <w:color w:val="494A4B"/>
                <w:sz w:val="21"/>
                <w:szCs w:val="21"/>
              </w:rPr>
              <w:t xml:space="preserve">Restricted Territory</w:t>
            </w:r>
          </w:p>
        </w:tc>
        <w:tc>
          <w:tcPr>
            <w:tcW w:w="6480" w:type="dxa"/>
            <w:tcMar>
              <w:top w:w="60" w:type="dxa"/>
              <w:left w:w="0" w:type="dxa"/>
              <w:bottom w:w="60" w:type="dxa"/>
              <w:right w:w="0" w:type="dxa"/>
            </w:tcMar>
          </w:tcPr>
          <w:p>
            <w:r>
              <w:rPr>
                <w:rFonts w:ascii="Arial" w:hAnsi="Arial" w:cs="Arial"/>
                <w:i/>
                <w:iCs/>
                <w:color w:val="494A4B"/>
                <w:sz w:val="21"/>
                <w:szCs w:val="21"/>
                <w:highlight w:val="yellow"/>
              </w:rPr>
              <w:t xml:space="preserve">{territory}</w:t>
            </w:r>
            <w:r>
              <w:t xml:space="preserve">{END-IF}</w:t>
            </w:r>
          </w:p>
        </w:tc>
      </w:tr>
      <w:tr>
        <w:tc>
          <w:tcPr>
            <w:tcW w:w="3600" w:type="dxa"/>
            <w:tcMar>
              <w:top w:w="60" w:type="dxa"/>
              <w:left w:w="345" w:type="dxa"/>
              <w:bottom w:w="60" w:type="dxa"/>
              <w:right w:w="0" w:type="dxa"/>
            </w:tcMar>
          </w:tcPr>
          <w:p>
            <w:r>
              <w:t xml:space="preserve">{IF noncompete_included}</w:t>
            </w:r>
            <w:r>
              <w:rPr>
                <w:rFonts w:ascii="Arial" w:hAnsi="Arial" w:cs="Arial"/>
                <w:i/>
                <w:iCs/>
                <w:color w:val="494A4B"/>
                <w:sz w:val="21"/>
                <w:szCs w:val="21"/>
              </w:rPr>
              <w:t xml:space="preserve">Competitive Business</w:t>
            </w:r>
          </w:p>
        </w:tc>
        <w:tc>
          <w:tcPr>
            <w:tcW w:w="6480" w:type="dxa"/>
            <w:tcMar>
              <w:top w:w="60" w:type="dxa"/>
              <w:left w:w="0" w:type="dxa"/>
              <w:bottom w:w="60" w:type="dxa"/>
              <w:right w:w="0" w:type="dxa"/>
            </w:tcMar>
          </w:tcPr>
          <w:p>
            <w:r>
              <w:rPr>
                <w:rFonts w:ascii="Arial" w:hAnsi="Arial" w:cs="Arial"/>
                <w:i/>
                <w:iCs/>
                <w:color w:val="494A4B"/>
                <w:sz w:val="21"/>
                <w:szCs w:val="21"/>
                <w:highlight w:val="yellow"/>
              </w:rPr>
              <w:t xml:space="preserve">{competitive_business_definition}</w:t>
            </w:r>
            <w:r>
              <w:t xml:space="preserve">{END-IF}</w:t>
            </w:r>
          </w:p>
        </w:tc>
      </w:tr>
      <w:tr>
        <w:tc>
          <w:tcPr>
            <w:tcW w:w="3600" w:type="dxa"/>
            <w:tcMar>
              <w:top w:w="60" w:type="dxa"/>
              <w:left w:w="345" w:type="dxa"/>
              <w:bottom w:w="60" w:type="dxa"/>
              <w:right w:w="0" w:type="dxa"/>
            </w:tcMar>
          </w:tcPr>
          <w:p>
            <w:r>
              <w:t xml:space="preserve">{IF noncompete_included}</w:t>
            </w:r>
            <w:r>
              <w:rPr>
                <w:rFonts w:ascii="Arial" w:hAnsi="Arial" w:cs="Arial"/>
                <w:i/>
                <w:iCs/>
                <w:color w:val="494A4B"/>
                <w:sz w:val="21"/>
                <w:szCs w:val="21"/>
              </w:rPr>
              <w:t xml:space="preserve">Specified Competitors</w:t>
            </w:r>
          </w:p>
        </w:tc>
        <w:tc>
          <w:tcPr>
            <w:tcW w:w="6480" w:type="dxa"/>
            <w:tcMar>
              <w:top w:w="60" w:type="dxa"/>
              <w:left w:w="0" w:type="dxa"/>
              <w:bottom w:w="60" w:type="dxa"/>
              <w:right w:w="0" w:type="dxa"/>
            </w:tcMar>
          </w:tcPr>
          <w:p>
            <w:r>
              <w:rPr>
                <w:rFonts w:ascii="Arial" w:hAnsi="Arial" w:cs="Arial"/>
                <w:i/>
                <w:iCs/>
                <w:color w:val="494A4B"/>
                <w:sz w:val="21"/>
                <w:szCs w:val="21"/>
                <w:highlight w:val="yellow"/>
              </w:rPr>
              <w:t xml:space="preserve">{specified_competitors}</w:t>
            </w:r>
            <w:r>
              <w:t xml:space="preserve">{END-IF}</w:t>
            </w:r>
          </w:p>
        </w:tc>
      </w:tr>
      <w:tr>
        <w:tc>
          <w:tcPr>
            <w:tcW w:w="10080" w:type="dxa"/>
            <w:gridSpan w:val="2"/>
            <w:tcMar>
              <w:top w:w="60" w:type="dxa"/>
              <w:left w:w="0" w:type="dxa"/>
              <w:bottom w:w="60" w:type="dxa"/>
              <w:right w:w="0" w:type="dxa"/>
            </w:tcMar>
            <w:vAlign w:val="center"/>
          </w:tcPr>
          <w:p>
            <w:r>
              <w:t xml:space="preserve">{IF nondealing_included}</w:t>
            </w:r>
            <w:r>
              <w:rPr>
                <w:rFonts w:ascii="Arial" w:hAnsi="Arial" w:cs="Arial"/>
                <w:b/>
                <w:bCs/>
                <w:color w:val="1D2021"/>
                <w:sz w:val="22"/>
                <w:szCs w:val="22"/>
              </w:rPr>
              <w:t xml:space="preserve">No Business with Covered Customers</w:t>
            </w:r>
            <w:r>
              <w:t xml:space="preserve">{END-IF}</w:t>
            </w:r>
          </w:p>
        </w:tc>
      </w:tr>
      <w:tr>
        <w:tc>
          <w:tcPr>
            <w:tcW w:w="3600" w:type="dxa"/>
            <w:tcMar>
              <w:top w:w="60" w:type="dxa"/>
              <w:left w:w="345" w:type="dxa"/>
              <w:bottom w:w="60" w:type="dxa"/>
              <w:right w:w="0" w:type="dxa"/>
            </w:tcMar>
          </w:tcPr>
          <w:p>
            <w:r>
              <w:t xml:space="preserve">{IF nondealing_included}</w:t>
            </w:r>
            <w:r>
              <w:rPr>
                <w:rFonts w:ascii="Arial" w:hAnsi="Arial" w:cs="Arial"/>
                <w:i/>
                <w:iCs/>
                <w:color w:val="494A4B"/>
                <w:sz w:val="21"/>
                <w:szCs w:val="21"/>
              </w:rPr>
              <w:t xml:space="preserve">Duration</w:t>
            </w:r>
          </w:p>
        </w:tc>
        <w:tc>
          <w:tcPr>
            <w:tcW w:w="6480" w:type="dxa"/>
            <w:tcMar>
              <w:top w:w="60" w:type="dxa"/>
              <w:left w:w="0" w:type="dxa"/>
              <w:bottom w:w="60" w:type="dxa"/>
              <w:right w:w="0" w:type="dxa"/>
            </w:tcMar>
          </w:tcPr>
          <w:p>
            <w:r>
              <w:rPr>
                <w:rFonts w:ascii="Arial" w:hAnsi="Arial" w:cs="Arial"/>
                <w:i/>
                <w:iCs/>
                <w:color w:val="494A4B"/>
                <w:sz w:val="21"/>
                <w:szCs w:val="21"/>
                <w:highlight w:val="yellow"/>
              </w:rPr>
              <w:t xml:space="preserve">{nondealing_duration}</w:t>
            </w:r>
            <w:r>
              <w:t xml:space="preserve">{END-IF}</w:t>
            </w:r>
          </w:p>
        </w:tc>
      </w:tr>
      <w:tr>
        <w:tc>
          <w:tcPr>
            <w:tcW w:w="10080" w:type="dxa"/>
            <w:gridSpan w:val="2"/>
            <w:tcMar>
              <w:top w:w="60" w:type="dxa"/>
              <w:left w:w="0" w:type="dxa"/>
              <w:bottom w:w="60" w:type="dxa"/>
              <w:right w:w="0" w:type="dxa"/>
            </w:tcMar>
            <w:vAlign w:val="center"/>
          </w:tcPr>
          <w:p>
            <w:r>
              <w:t xml:space="preserve">{IF noninvestment_included}</w:t>
            </w:r>
            <w:r>
              <w:rPr>
                <w:rFonts w:ascii="Arial" w:hAnsi="Arial" w:cs="Arial"/>
                <w:b/>
                <w:bCs/>
                <w:color w:val="1D2021"/>
                <w:sz w:val="22"/>
                <w:szCs w:val="22"/>
              </w:rPr>
              <w:t xml:space="preserve">Non-Investment</w:t>
            </w:r>
            <w:r>
              <w:t xml:space="preserve">{END-IF}</w:t>
            </w:r>
          </w:p>
        </w:tc>
      </w:tr>
      <w:tr>
        <w:tc>
          <w:tcPr>
            <w:tcW w:w="3600" w:type="dxa"/>
            <w:tcMar>
              <w:top w:w="60" w:type="dxa"/>
              <w:left w:w="345" w:type="dxa"/>
              <w:bottom w:w="60" w:type="dxa"/>
              <w:right w:w="0" w:type="dxa"/>
            </w:tcMar>
          </w:tcPr>
          <w:p>
            <w:r>
              <w:t xml:space="preserve">{IF noninvestment_included}</w:t>
            </w:r>
            <w:r>
              <w:rPr>
                <w:rFonts w:ascii="Arial" w:hAnsi="Arial" w:cs="Arial"/>
                <w:i/>
                <w:iCs/>
                <w:color w:val="494A4B"/>
                <w:sz w:val="21"/>
                <w:szCs w:val="21"/>
              </w:rPr>
              <w:t xml:space="preserve">Duration</w:t>
            </w:r>
          </w:p>
        </w:tc>
        <w:tc>
          <w:tcPr>
            <w:tcW w:w="6480" w:type="dxa"/>
            <w:tcMar>
              <w:top w:w="60" w:type="dxa"/>
              <w:left w:w="0" w:type="dxa"/>
              <w:bottom w:w="60" w:type="dxa"/>
              <w:right w:w="0" w:type="dxa"/>
            </w:tcMar>
          </w:tcPr>
          <w:p>
            <w:r>
              <w:rPr>
                <w:rFonts w:ascii="Arial" w:hAnsi="Arial" w:cs="Arial"/>
                <w:i/>
                <w:iCs/>
                <w:color w:val="494A4B"/>
                <w:sz w:val="21"/>
                <w:szCs w:val="21"/>
                <w:highlight w:val="yellow"/>
              </w:rPr>
              <w:t xml:space="preserve">{noninvestment_duration}</w:t>
            </w:r>
            <w:r>
              <w:t xml:space="preserve">{END-IF}</w:t>
            </w:r>
          </w:p>
        </w:tc>
      </w:tr>
      <w:tr>
        <w:tc>
          <w:tcPr>
            <w:tcW w:w="10080" w:type="dxa"/>
            <w:gridSpan w:val="2"/>
            <w:tcMar>
              <w:top w:w="60" w:type="dxa"/>
              <w:left w:w="0" w:type="dxa"/>
              <w:bottom w:w="60" w:type="dxa"/>
              <w:right w:w="0" w:type="dxa"/>
            </w:tcMar>
            <w:vAlign w:val="center"/>
          </w:tcPr>
          <w:p>
            <w:r>
              <w:rPr>
                <w:rFonts w:ascii="Arial" w:hAnsi="Arial" w:cs="Arial"/>
                <w:b/>
                <w:bCs/>
                <w:color w:val="1D2021"/>
                <w:sz w:val="22"/>
                <w:szCs w:val="22"/>
              </w:rPr>
              <w:t xml:space="preserve">Non-Disparagement</w:t>
            </w:r>
          </w:p>
        </w:tc>
      </w:tr>
      <w:tr>
        <w:tc>
          <w:tcPr>
            <w:tcW w:w="3600" w:type="dxa"/>
            <w:tcMar>
              <w:top w:w="60" w:type="dxa"/>
              <w:left w:w="345" w:type="dxa"/>
              <w:bottom w:w="60" w:type="dxa"/>
              <w:right w:w="0" w:type="dxa"/>
            </w:tcMar>
          </w:tcPr>
          <w:p>
            <w:r>
              <w:rPr>
                <w:rFonts w:ascii="Arial" w:hAnsi="Arial" w:cs="Arial"/>
                <w:i/>
                <w:iCs/>
                <w:color w:val="494A4B"/>
                <w:sz w:val="21"/>
                <w:szCs w:val="21"/>
              </w:rPr>
              <w:t xml:space="preserve">Duration</w:t>
            </w:r>
          </w:p>
        </w:tc>
        <w:tc>
          <w:tcPr>
            <w:tcW w:w="6480" w:type="dxa"/>
            <w:tcMar>
              <w:top w:w="60" w:type="dxa"/>
              <w:left w:w="0" w:type="dxa"/>
              <w:bottom w:w="60" w:type="dxa"/>
              <w:right w:w="0" w:type="dxa"/>
            </w:tcMar>
          </w:tcPr>
          <w:p>
            <w:r>
              <w:rPr>
                <w:rFonts w:ascii="Arial" w:hAnsi="Arial" w:cs="Arial"/>
                <w:i/>
                <w:iCs/>
                <w:color w:val="494A4B"/>
                <w:sz w:val="21"/>
                <w:szCs w:val="21"/>
                <w:highlight w:val="yellow"/>
              </w:rPr>
              <w:t xml:space="preserve">{nondisparagement_duration}</w:t>
            </w:r>
          </w:p>
        </w:tc>
      </w:tr>
    </w:tbl>
    <w:p>
      <w:pPr>
        <w:sectPr>
          <w:headerReference w:type="default" r:id="rId2"/>
          <w:footerReference w:type="default" r:id="rId3"/>
          <w:type w:val="nextPage"/>
          <w:pgSz w:w="12240" w:h="15840"/>
          <w:pgMar w:top="936" w:right="1080" w:bottom="720" w:left="1080" w:header="360" w:footer="432" w:gutter="0"/>
          <w:pgNumType w:start="1" w:fmt="decimal"/>
        </w:sectPr>
      </w:pPr>
    </w:p>
    <w:p>
      <w:pPr>
        <w:pStyle w:val="OASectionHeading"/>
      </w:pPr>
      <w:r>
        <w:t xml:space="preserve">Standard Terms</w:t>
      </w:r>
    </w:p>
    <w:p>
      <w:pPr>
        <w:pStyle w:val="OABody"/>
        <w:keepNext/>
        <w:numPr>
          <w:ilvl w:val="0"/>
          <w:numId w:val="1"/>
        </w:numPr>
        <w:spacing w:before="320" w:after="120" w:line="340" w:lineRule="auto"/>
        <w:jc w:val="left"/>
      </w:pPr>
      <w:r>
        <w:rPr>
          <w:b/>
          <w:bCs/>
        </w:rPr>
        <w:t xml:space="preserve">Defined Terms</w:t>
      </w:r>
    </w:p>
    <w:p>
      <w:pPr>
        <w:pStyle w:val="OABody"/>
        <w:numPr>
          <w:ilvl w:val="1"/>
          <w:numId w:val="1"/>
        </w:numPr>
        <w:spacing w:before="0" w:after="120" w:line="340" w:lineRule="auto"/>
      </w:pPr>
      <w:r>
        <w:rPr>
          <w:b/>
          <w:bCs/>
          <w:color w:val="117086"/>
        </w:rPr>
        <w:t xml:space="preserve">“Competitive Business”</w:t>
      </w:r>
      <w:r>
        <w:t xml:space="preserve"> means the business activities described in Cover Terms under Competitive Business.</w:t>
      </w:r>
    </w:p>
    <w:p>
      <w:pPr>
        <w:pStyle w:val="OABody"/>
        <w:numPr>
          <w:ilvl w:val="1"/>
          <w:numId w:val="1"/>
        </w:numPr>
        <w:spacing w:before="0" w:after="120" w:line="340" w:lineRule="auto"/>
      </w:pPr>
      <w:r>
        <w:rPr>
          <w:b/>
          <w:bCs/>
          <w:color w:val="117086"/>
        </w:rPr>
        <w:t xml:space="preserve">“Confidential Information”</w:t>
      </w:r>
      <w:r>
        <w:t xml:space="preserve"> means non-public information relating to Employer's business, including trade secrets, business methods, customer lists, secret formulas or processes, pricing, technical data, and strategic plans, but excluding information that becomes public through no fault of Employee.</w:t>
      </w:r>
    </w:p>
    <w:p>
      <w:pPr>
        <w:pStyle w:val="OABody"/>
        <w:numPr>
          <w:ilvl w:val="1"/>
          <w:numId w:val="1"/>
        </w:numPr>
        <w:spacing w:before="0" w:after="120" w:line="340" w:lineRule="auto"/>
      </w:pPr>
      <w:r>
        <w:rPr>
          <w:b/>
          <w:bCs/>
          <w:color w:val="117086"/>
        </w:rPr>
        <w:t xml:space="preserve">“Covered Customers”</w:t>
      </w:r>
      <w:r>
        <w:t xml:space="preserve"> means customers, vendors, referral sources, and business partners with whom Employee had material contact or for whom Employee had responsibility during the </w:t>
      </w:r>
      <w:r>
        <w:rPr>
          <w:highlight w:val="yellow"/>
        </w:rPr>
        <w:t xml:space="preserve">{covered_customer_period}</w:t>
      </w:r>
      <w:r>
        <w:t xml:space="preserve"> before termination of employment.</w:t>
      </w:r>
    </w:p>
    <w:p>
      <w:pPr>
        <w:pStyle w:val="OABody"/>
        <w:numPr>
          <w:ilvl w:val="1"/>
          <w:numId w:val="1"/>
        </w:numPr>
        <w:spacing w:before="0" w:after="120" w:line="340" w:lineRule="auto"/>
      </w:pPr>
      <w:r>
        <w:rPr>
          <w:b/>
          <w:bCs/>
          <w:color w:val="117086"/>
        </w:rPr>
        <w:t xml:space="preserve">“Covered Employees”</w:t>
      </w:r>
      <w:r>
        <w:t xml:space="preserve"> means employees with whom Employee worked or whom Employee managed during the </w:t>
      </w:r>
      <w:r>
        <w:rPr>
          <w:highlight w:val="yellow"/>
        </w:rPr>
        <w:t xml:space="preserve">{covered_employee_period}</w:t>
      </w:r>
      <w:r>
        <w:t xml:space="preserve"> before termination of employment.</w:t>
      </w:r>
    </w:p>
    <w:p>
      <w:pPr>
        <w:pStyle w:val="OABody"/>
        <w:numPr>
          <w:ilvl w:val="1"/>
          <w:numId w:val="1"/>
        </w:numPr>
        <w:spacing w:before="0" w:after="120" w:line="340" w:lineRule="auto"/>
      </w:pPr>
      <w:r>
        <w:rPr>
          <w:b/>
          <w:bCs/>
          <w:color w:val="117086"/>
        </w:rPr>
        <w:t xml:space="preserve">“Passive Public Holdings”</w:t>
      </w:r>
      <w:r>
        <w:t xml:space="preserve"> means ownership of securities of a publicly traded company representing less than </w:t>
      </w:r>
      <w:r>
        <w:rPr>
          <w:highlight w:val="yellow"/>
        </w:rPr>
        <w:t xml:space="preserve">{passive_public_holdings_threshold}</w:t>
      </w:r>
      <w:r>
        <w:t xml:space="preserve"> of any class of such company's securities, and interests in diversified mutual funds, index funds, and exchange-traded funds that may hold securities of a Competitive Business.</w:t>
      </w:r>
    </w:p>
    <w:p>
      <w:pPr>
        <w:pStyle w:val="OABody"/>
        <w:numPr>
          <w:ilvl w:val="1"/>
          <w:numId w:val="1"/>
        </w:numPr>
        <w:spacing w:before="0" w:after="120" w:line="340" w:lineRule="auto"/>
      </w:pPr>
      <w:r>
        <w:rPr>
          <w:b/>
          <w:bCs/>
          <w:color w:val="117086"/>
        </w:rPr>
        <w:t xml:space="preserve">“Protected Interests”</w:t>
      </w:r>
      <w:r>
        <w:t xml:space="preserve"> means Employer's legitimate business interests in its Confidential Information and trade secrets, its relationships with customers, clients, and referral sources, its workforce stability, and its goodwill, in each case only to the extent a restraint imposed to protect them is no greater than is required for Employer's protection under NRS 613.195(1)(b).</w:t>
      </w:r>
    </w:p>
    <w:p>
      <w:pPr>
        <w:pStyle w:val="OABody"/>
        <w:numPr>
          <w:ilvl w:val="1"/>
          <w:numId w:val="1"/>
        </w:numPr>
        <w:spacing w:before="0" w:after="120" w:line="340" w:lineRule="auto"/>
      </w:pPr>
      <w:r>
        <w:rPr>
          <w:b/>
          <w:bCs/>
          <w:color w:val="117086"/>
        </w:rPr>
        <w:t xml:space="preserve">“Restricted Period”</w:t>
      </w:r>
      <w:r>
        <w:t xml:space="preserve"> means the duration specified in Cover Terms for each covenant, beginning on the date Employee's employment with Employer ends for any reason, subject to the continued-pay condition in the Post-Restructuring Enforcement section for any restructuring termination.</w:t>
      </w:r>
    </w:p>
    <w:p>
      <w:pPr>
        <w:pStyle w:val="OABody"/>
        <w:numPr>
          <w:ilvl w:val="1"/>
          <w:numId w:val="1"/>
        </w:numPr>
        <w:spacing w:before="0" w:after="120" w:line="340" w:lineRule="auto"/>
      </w:pPr>
      <w:r>
        <w:rPr>
          <w:b/>
          <w:bCs/>
          <w:color w:val="117086"/>
        </w:rPr>
        <w:t xml:space="preserve">“Restricted Territory”</w:t>
      </w:r>
      <w:r>
        <w:t xml:space="preserve"> means the geographic area described in Cover Terms under Restricted Territory.</w:t>
      </w:r>
    </w:p>
    <w:p>
      <w:pPr>
        <w:pStyle w:val="OABody"/>
        <w:numPr>
          <w:ilvl w:val="1"/>
          <w:numId w:val="1"/>
        </w:numPr>
        <w:spacing w:before="0" w:after="120" w:line="340" w:lineRule="auto"/>
      </w:pPr>
      <w:r>
        <w:rPr>
          <w:b/>
          <w:bCs/>
          <w:color w:val="117086"/>
        </w:rPr>
        <w:t xml:space="preserve">“Solicit”</w:t>
      </w:r>
      <w:r>
        <w:t xml:space="preserve"> means to directly or indirectly contact, approach, induce, encourage, or provide Confidential Information to any person or entity for the purpose of diverting business away from Employer, but does not include responding to general advertisements or unsolicited inquiries not initiated by Employee, and does not include providing service to a former customer or client who, without any contact instigated by Employee, voluntarily chose to leave Employer and seek Employee's services.</w:t>
      </w:r>
    </w:p>
    <w:p>
      <w:pPr>
        <w:pStyle w:val="OABody"/>
        <w:numPr>
          <w:ilvl w:val="1"/>
          <w:numId w:val="1"/>
        </w:numPr>
        <w:spacing w:before="0" w:after="120" w:line="340" w:lineRule="auto"/>
      </w:pPr>
      <w:r>
        <w:rPr>
          <w:b/>
          <w:bCs/>
          <w:color w:val="117086"/>
        </w:rPr>
        <w:t xml:space="preserve">“Trade Secrets”</w:t>
      </w:r>
      <w:r>
        <w:t xml:space="preserve"> has the meaning given in the Nevada Uniform Trade Secrets Act, NRS 600A.030.</w:t>
      </w:r>
    </w:p>
    <w:p>
      <w:pPr>
        <w:pStyle w:val="OABody"/>
        <w:keepNext/>
        <w:numPr>
          <w:ilvl w:val="0"/>
          <w:numId w:val="1"/>
        </w:numPr>
        <w:spacing w:before="320" w:after="120" w:line="340" w:lineRule="auto"/>
        <w:jc w:val="left"/>
      </w:pPr>
      <w:r>
        <w:rPr>
          <w:b/>
          <w:bCs/>
        </w:rPr>
        <w:t xml:space="preserve">Recitals and Statutory Validity</w:t>
      </w:r>
    </w:p>
    <w:p>
      <w:pPr>
        <w:pStyle w:val="OABody"/>
        <w:spacing w:before="0" w:after="120" w:line="340" w:lineRule="auto"/>
        <w:ind w:left="720"/>
      </w:pPr>
      <w:r>
        <w:t xml:space="preserve">Employer and Employee acknowledge that each restrictive covenant in this agreement is intended to satisfy NRS 613.195(1): it is supported by valuable consideration; it imposes no restraint greater than is required for the protection of the employer for whose benefit the restraint is imposed; it imposes no undue hardship on Employee; and its restrictions are appropriate in relation to the valuable consideration supporting them. The named Employer is the entity whose Protected Interests the restraints serve, so that each restraint can be measured against the protection Employer actually requires. Employer would not provide Employee with access to its Protected Interests absent the protections in this agreement.</w:t>
      </w:r>
    </w:p>
    <w:p>
      <w:pPr>
        <w:pStyle w:val="OABody"/>
        <w:keepNext/>
        <w:numPr>
          <w:ilvl w:val="0"/>
          <w:numId w:val="1"/>
        </w:numPr>
        <w:spacing w:before="320" w:after="120" w:line="340" w:lineRule="auto"/>
        <w:jc w:val="left"/>
      </w:pPr>
      <w:r>
        <w:rPr>
          <w:b/>
          <w:bCs/>
        </w:rPr>
        <w:t xml:space="preserve">Timing, Consideration, and Right to Consult Counsel</w:t>
      </w:r>
    </w:p>
    <w:p>
      <w:pPr>
        <w:pStyle w:val="OABody"/>
        <w:spacing w:before="0" w:after="120" w:line="340" w:lineRule="auto"/>
        <w:ind w:left="720"/>
      </w:pPr>
      <w:r>
        <w:t xml:space="preserve">The parties agree that this agreement is supported by valuable consideration within the meaning of NRS 613.195(1)(a) — namely </w:t>
      </w:r>
      <w:r>
        <w:rPr>
          <w:highlight w:val="yellow"/>
        </w:rPr>
        <w:t xml:space="preserve">{nevada_consideration}</w:t>
      </w:r>
      <w:r>
        <w:t xml:space="preserve"> — and that those restrictions are appropriate in relation to that consideration as NRS 613.195(1)(d) requires. Employer has advised Employee that Employee may consult with an attorney of Employee's choosing before entering into this agreement, and Employee acknowledges having had a reasonable opportunity to do so. Employee acknowledges that the restrictions in this agreement are reasonable and necessary to protect Employer's Protected Interests. This agreement is effective as of the Effective Date listed in Cover Terms.</w:t>
      </w:r>
    </w:p>
    <w:p>
      <w:pPr>
        <w:pStyle w:val="OABody"/>
        <w:keepNext/>
        <w:numPr>
          <w:ilvl w:val="0"/>
          <w:numId w:val="1"/>
        </w:numPr>
        <w:spacing w:before="320" w:after="120" w:line="340" w:lineRule="auto"/>
        <w:jc w:val="left"/>
      </w:pPr>
      <w:r>
        <w:rPr>
          <w:b/>
          <w:bCs/>
        </w:rPr>
        <w:t xml:space="preserve">Confidential Information and Trade Secret Protection</w:t>
      </w:r>
    </w:p>
    <w:p>
      <w:pPr>
        <w:pStyle w:val="OABody"/>
        <w:spacing w:before="0" w:after="120" w:line="340" w:lineRule="auto"/>
        <w:ind w:left="720"/>
      </w:pPr>
      <w:r>
        <w:t xml:space="preserve">Employee must treat all Confidential Information as strictly confidential. Employee must not use or disclose Confidential Information except as required to perform authorized job duties or with Employer's prior written consent. Employee's obligations regarding trade secrets continue for as long as the information remains a Trade Secret. Employee's obligations regarding other Confidential Information continue for the period specified in Cover Terms. This confidentiality covenant is intended to fall within the exception in NRS 613.200(4) for a reasonable, consideration-supported post-termination confidentiality agreement; it does not restrict Employee from working elsewhere and is not intended to operate as a restraint on obtaining employment.</w:t>
      </w:r>
    </w:p>
    <w:p>
      <w:pPr>
        <w:pStyle w:val="OABody"/>
        <w:keepNext/>
        <w:numPr>
          <w:ilvl w:val="0"/>
          <w:numId w:val="1"/>
        </w:numPr>
        <w:spacing w:before="320" w:after="120" w:line="340" w:lineRule="auto"/>
        <w:jc w:val="left"/>
      </w:pPr>
      <w:r>
        <w:rPr>
          <w:b/>
          <w:bCs/>
        </w:rPr>
        <w:t xml:space="preserve">Permitted Disclosures and Protected Conduct</w:t>
      </w:r>
    </w:p>
    <w:p>
      <w:pPr>
        <w:pStyle w:val="OABody"/>
        <w:spacing w:before="0" w:after="120" w:line="340" w:lineRule="auto"/>
        <w:ind w:left="720"/>
      </w:pPr>
      <w:r>
        <w:t xml:space="preserve">Nothing in this agreement prohibits Employee from: (a) reporting possible violations of law to any government agency, including the Securities and Exchange Commission, the Equal Employment Opportunity Commission, the Occupational Safety and Health Administration, or any other federal, state, or local agency; (b) making disclosures protected under whistleblower provisions of any law; (c) discussing wages, hours, or other terms and conditions of employment as protected by applicable law; (d) testifying truthfully in legal proceedings; or (e) filing a sealed complaint in court using Confidential Information without liability. Pursuant to the Defend Trade Secrets Act (18 U.S.C. § 1833(b)), Employee may not be held criminally or civilly liable for disclosing a trade secret in confidence to a government official or attorney solely for the purpose of reporting or investigating a suspected violation of law, or in a sealed court filing.</w:t>
      </w:r>
    </w:p>
    <w:p>
      <w:pPr>
        <w:pStyle w:val="OABody"/>
        <w:keepNext/>
        <w:numPr>
          <w:ilvl w:val="0"/>
          <w:numId w:val="1"/>
        </w:numPr>
        <w:spacing w:before="320" w:after="120" w:line="340" w:lineRule="auto"/>
        <w:jc w:val="left"/>
      </w:pPr>
      <w:r>
        <w:rPr>
          <w:b/>
          <w:bCs/>
        </w:rPr>
        <w:t xml:space="preserve">Return, Deletion, and Certification of Company Property</w:t>
      </w:r>
    </w:p>
    <w:p>
      <w:pPr>
        <w:pStyle w:val="OABody"/>
        <w:spacing w:before="0" w:after="120" w:line="340" w:lineRule="auto"/>
        <w:ind w:left="720"/>
      </w:pPr>
      <w:r>
        <w:t xml:space="preserve">Upon termination of employment, Employee must promptly return to Employer all documents, devices, files, credentials, and other materials containing or relating to Confidential Information. Where permitted, Employee must permanently delete electronic copies of Confidential Information from personal devices and accounts. Employee must certify compliance with this section in writing upon Employer's request. A documented return-and-certification process evidences the reasonable secrecy efforts that NRS 600A.030 requires for information to retain trade-secret status.</w:t>
      </w:r>
    </w:p>
    <w:p>
      <w:r>
        <w:t xml:space="preserve">{IF employee_nonsolicit_included}</w:t>
      </w:r>
    </w:p>
    <w:p>
      <w:pPr>
        <w:pStyle w:val="OABody"/>
        <w:keepNext/>
        <w:numPr>
          <w:ilvl w:val="0"/>
          <w:numId w:val="1"/>
        </w:numPr>
        <w:spacing w:before="320" w:after="120" w:line="340" w:lineRule="auto"/>
        <w:jc w:val="left"/>
      </w:pPr>
      <w:r>
        <w:rPr>
          <w:b/>
          <w:bCs/>
        </w:rPr>
        <w:t xml:space="preserve">Non-Solicitation of Employees</w:t>
      </w:r>
    </w:p>
    <w:p>
      <w:pPr>
        <w:pStyle w:val="OABody"/>
        <w:spacing w:before="0" w:after="120" w:line="340" w:lineRule="auto"/>
        <w:ind w:left="720"/>
      </w:pPr>
      <w:r>
        <w:t xml:space="preserve">During the Restricted Period, Employee must not Solicit, recruit, hire, or attempt to hire any Covered Employee. This restriction does not prohibit Employee from providing a professional reference upon request or from hiring a person who responds to a general advertisement not directed specifically at Employer's employees. This covenant is drawn no broader than necessary to protect Employer's workforce stability and does not operate as a bar on any former colleague obtaining employment elsewhere.</w:t>
      </w:r>
    </w:p>
    <w:p>
      <w:r>
        <w:t xml:space="preserve">{END-IF}</w:t>
      </w:r>
    </w:p>
    <w:p>
      <w:r>
        <w:t xml:space="preserve">{IF customer_nonsolicit_included}</w:t>
      </w:r>
    </w:p>
    <w:p>
      <w:pPr>
        <w:pStyle w:val="OABody"/>
        <w:keepNext/>
        <w:numPr>
          <w:ilvl w:val="0"/>
          <w:numId w:val="1"/>
        </w:numPr>
        <w:spacing w:before="320" w:after="120" w:line="340" w:lineRule="auto"/>
        <w:jc w:val="left"/>
      </w:pPr>
      <w:r>
        <w:rPr>
          <w:b/>
          <w:bCs/>
        </w:rPr>
        <w:t xml:space="preserve">Non-Solicitation of Customers, Vendors, Referral Sources, and Business Partners</w:t>
      </w:r>
    </w:p>
    <w:p>
      <w:pPr>
        <w:pStyle w:val="OABody"/>
        <w:spacing w:before="0" w:after="120" w:line="340" w:lineRule="auto"/>
        <w:ind w:left="720"/>
      </w:pPr>
      <w:r>
        <w:t xml:space="preserve">During the Restricted Period, Employee must not Solicit the business of any Covered Customer. This covenant polices outreach, not service: consistent with NRS 613.195(2), it does not restrict, and Employer will not bring an action to restrict, Employee from providing service to a former customer or client whom Employee did not solicit, who voluntarily chose to leave Employer and seek Employee's services, and whom Employee serves in compliance with the covenant's other valid limits as to time, geographical area, and scope of activity.</w:t>
      </w:r>
    </w:p>
    <w:p>
      <w:r>
        <w:t xml:space="preserve">{END-IF}</w:t>
      </w:r>
    </w:p>
    <w:p>
      <w:r>
        <w:t xml:space="preserve">{IF nondealing_included}</w:t>
      </w:r>
    </w:p>
    <w:p>
      <w:pPr>
        <w:pStyle w:val="OABody"/>
        <w:keepNext/>
        <w:numPr>
          <w:ilvl w:val="0"/>
          <w:numId w:val="1"/>
        </w:numPr>
        <w:spacing w:before="320" w:after="120" w:line="340" w:lineRule="auto"/>
        <w:jc w:val="left"/>
      </w:pPr>
      <w:r>
        <w:rPr>
          <w:b/>
          <w:bCs/>
        </w:rPr>
        <w:t xml:space="preserve">No Business with Covered Customers</w:t>
      </w:r>
    </w:p>
    <w:p>
      <w:pPr>
        <w:pStyle w:val="OABody"/>
        <w:spacing w:before="0" w:after="120" w:line="340" w:lineRule="auto"/>
        <w:ind w:left="720"/>
      </w:pPr>
      <w:r>
        <w:t xml:space="preserve">During the Restricted Period, Employee must not accept, service, or do business with any Covered Customer. This restriction is broader than non-solicitation because it can apply even where the Covered Customer first initiated contact; it is therefore expressly limited by the NRS 613.195(2) volunteer-customer carve-out. This covenant does not, and may not, restrict Employee from providing service to a former customer or client whom Employee did not solicit, who voluntarily chose to leave Employer and seek Employee's services without any contact instigated by Employee, and whom Employee serves within the covenant's other valid limits, and Employer will not bring an action to restrict that protected service.</w:t>
      </w:r>
    </w:p>
    <w:p>
      <w:r>
        <w:t xml:space="preserve">{END-IF}</w:t>
      </w:r>
    </w:p>
    <w:p>
      <w:r>
        <w:t xml:space="preserve">{IF noncompete_included}</w:t>
      </w:r>
    </w:p>
    <w:p>
      <w:pPr>
        <w:pStyle w:val="OABody"/>
        <w:keepNext/>
        <w:numPr>
          <w:ilvl w:val="0"/>
          <w:numId w:val="1"/>
        </w:numPr>
        <w:spacing w:before="320" w:after="120" w:line="340" w:lineRule="auto"/>
        <w:jc w:val="left"/>
      </w:pPr>
      <w:r>
        <w:rPr>
          <w:b/>
          <w:bCs/>
        </w:rPr>
        <w:t xml:space="preserve">Non-Competition</w:t>
      </w:r>
    </w:p>
    <w:p>
      <w:pPr>
        <w:pStyle w:val="OABody"/>
        <w:spacing w:before="0" w:after="120" w:line="340" w:lineRule="auto"/>
        <w:ind w:left="720"/>
      </w:pPr>
      <w:r>
        <w:t xml:space="preserve">During the Restricted Period, Employee must not engage in, be employed by, consult for, or have an active ownership interest in any Competitive Business within the Restricted Territory. This covenant does not apply to, and is void against, any Employee who is paid solely on an hourly wage basis, exclusive of any tips or gratuities (NRS 613.195(3)). It is limited by the NRS 613.195(2) volunteer-customer carve-out and by the Post-Restructuring Enforcement section. Passive Public Holdings are permitted.</w:t>
      </w:r>
    </w:p>
    <w:p>
      <w:r>
        <w:t xml:space="preserve">{END-IF}</w:t>
      </w:r>
    </w:p>
    <w:p>
      <w:r>
        <w:t xml:space="preserve">{IF noninvestment_included}</w:t>
      </w:r>
    </w:p>
    <w:p>
      <w:pPr>
        <w:pStyle w:val="OABody"/>
        <w:keepNext/>
        <w:numPr>
          <w:ilvl w:val="0"/>
          <w:numId w:val="1"/>
        </w:numPr>
        <w:spacing w:before="320" w:after="120" w:line="340" w:lineRule="auto"/>
        <w:jc w:val="left"/>
      </w:pPr>
      <w:r>
        <w:rPr>
          <w:b/>
          <w:bCs/>
        </w:rPr>
        <w:t xml:space="preserve">Non-Investment</w:t>
      </w:r>
    </w:p>
    <w:p>
      <w:pPr>
        <w:pStyle w:val="OABody"/>
        <w:spacing w:before="0" w:after="120" w:line="340" w:lineRule="auto"/>
        <w:ind w:left="720"/>
      </w:pPr>
      <w:r>
        <w:t xml:space="preserve">During the Restricted Period, Employee must not acquire or hold any active ownership interest in, serve as a director, officer, manager, or advisor to, or have material economic participation in any Competitive Business. This restriction primarily targets active or material ownership in private competitors. Passive Public Holdings are permitted. Because this covenant restrains active roles at and material participation in a Competitive Business, it functions as a covenant not to compete under NRS 613.195; it therefore does not apply to an Employee paid solely on an hourly wage basis (NRS 613.195(3)), is subject to the same NRS 613.195(1) validity conditions and the Post-Restructuring Enforcement section as the non-compete in this agreement, and is drawn no broader than is required to protect Employer's Protected Interests.</w:t>
      </w:r>
    </w:p>
    <w:p>
      <w:r>
        <w:t xml:space="preserve">{END-IF}</w:t>
      </w:r>
    </w:p>
    <w:p>
      <w:pPr>
        <w:pStyle w:val="OABody"/>
        <w:keepNext/>
        <w:numPr>
          <w:ilvl w:val="0"/>
          <w:numId w:val="1"/>
        </w:numPr>
        <w:spacing w:before="320" w:after="120" w:line="340" w:lineRule="auto"/>
        <w:jc w:val="left"/>
      </w:pPr>
      <w:r>
        <w:rPr>
          <w:b/>
          <w:bCs/>
        </w:rPr>
        <w:t xml:space="preserve">Non-Disparagement</w:t>
      </w:r>
    </w:p>
    <w:p>
      <w:pPr>
        <w:pStyle w:val="OABody"/>
        <w:spacing w:before="0" w:after="120" w:line="340" w:lineRule="auto"/>
        <w:ind w:left="720"/>
      </w:pPr>
      <w:r>
        <w:t xml:space="preserve">During the Restricted Period specified in Cover Terms for Non-Disparagement, Employee must not make statements that are intended to or reasonably likely to disparage Employer, its officers, directors, employees, products, or services. This section does not restrict Employee from making truthful statements in legal proceedings, providing truthful testimony, making disclosures to government agencies, or exercising rights protected by law.</w:t>
      </w:r>
    </w:p>
    <w:p>
      <w:pPr>
        <w:pStyle w:val="OABody"/>
        <w:keepNext/>
        <w:numPr>
          <w:ilvl w:val="0"/>
          <w:numId w:val="1"/>
        </w:numPr>
        <w:spacing w:before="320" w:after="120" w:line="340" w:lineRule="auto"/>
        <w:jc w:val="left"/>
      </w:pPr>
      <w:r>
        <w:rPr>
          <w:b/>
          <w:bCs/>
        </w:rPr>
        <w:t xml:space="preserve">Hourly-Worker Exclusion and Post-Restructuring Enforcement</w:t>
      </w:r>
    </w:p>
    <w:p>
      <w:pPr>
        <w:pStyle w:val="OABody"/>
        <w:numPr>
          <w:ilvl w:val="1"/>
          <w:numId w:val="1"/>
        </w:numPr>
        <w:spacing w:before="0" w:after="120" w:line="340" w:lineRule="auto"/>
      </w:pPr>
      <w:r>
        <w:t xml:space="preserve">Notwithstanding any other provision of this agreement, no covenant not to compete in this agreement applies to, and each is void and unenforceable against, an Employee who is paid solely on an hourly wage basis, exclusive of any tips or gratuities (NRS 613.195(3)). This exclusion applies regardless of the consideration provided, the tailoring of the restraint, or any acknowledgement by Employee.</w:t>
      </w:r>
    </w:p>
    <w:p>
      <w:pPr>
        <w:pStyle w:val="OABody"/>
        <w:numPr>
          <w:ilvl w:val="1"/>
          <w:numId w:val="1"/>
        </w:numPr>
        <w:spacing w:before="0" w:after="120" w:line="340" w:lineRule="auto"/>
      </w:pPr>
      <w:r>
        <w:t xml:space="preserve">If the termination of Employee's employment is the result of a reduction of force, reorganization, or similar restructuring of Employer, then each covenant not to compete in this agreement is enforceable only during the period in which Employer is paying Employee's salary, benefits, or equivalent compensation, including, without limitation, severance pay (NRS 613.195(5)). For such a termination, the Restricted Period runs no longer than the period for which that pay actually continues.</w:t>
      </w:r>
    </w:p>
    <w:p>
      <w:pPr>
        <w:pStyle w:val="OABody"/>
        <w:keepNext/>
        <w:numPr>
          <w:ilvl w:val="0"/>
          <w:numId w:val="1"/>
        </w:numPr>
        <w:spacing w:before="320" w:after="120" w:line="340" w:lineRule="auto"/>
        <w:jc w:val="left"/>
      </w:pPr>
      <w:r>
        <w:rPr>
          <w:b/>
          <w:bCs/>
        </w:rPr>
        <w:t xml:space="preserve">No Conflicting Obligations</w:t>
      </w:r>
    </w:p>
    <w:p>
      <w:pPr>
        <w:pStyle w:val="OABody"/>
        <w:spacing w:before="0" w:after="120" w:line="340" w:lineRule="auto"/>
        <w:ind w:left="720"/>
      </w:pPr>
      <w:r>
        <w:t xml:space="preserve">Employee represents that performing duties for Employer and complying with this agreement does not conflict with any prior agreement, court order, or legal obligation binding on Employee. Employee must promptly disclose to Employer any potential conflict that arises during employment, including any restrictive covenant with a prior employer that may have been assigned to a successor without Employee's consent.</w:t>
      </w:r>
    </w:p>
    <w:p>
      <w:pPr>
        <w:pStyle w:val="OABody"/>
        <w:keepNext/>
        <w:numPr>
          <w:ilvl w:val="0"/>
          <w:numId w:val="1"/>
        </w:numPr>
        <w:spacing w:before="320" w:after="120" w:line="340" w:lineRule="auto"/>
        <w:jc w:val="left"/>
      </w:pPr>
      <w:r>
        <w:rPr>
          <w:b/>
          <w:bCs/>
        </w:rPr>
        <w:t xml:space="preserve">Notice to Future Employers and Other Third Parties</w:t>
      </w:r>
    </w:p>
    <w:p>
      <w:pPr>
        <w:pStyle w:val="OABody"/>
        <w:spacing w:before="0" w:after="120" w:line="340" w:lineRule="auto"/>
        <w:ind w:left="720"/>
      </w:pPr>
      <w:r>
        <w:t xml:space="preserve">Employer may disclose the existence and terms of this agreement to a prospective employer or business associate of Employee only where Employer has a reasonable, good-faith belief that Employee is likely to breach a covenant that is itself valid and enforceable under NRS 613.195. Employer will not use any such notice to willfully prevent Employee from obtaining employment elsewhere in Nevada. Employee consents to a disclosure made within these limits.</w:t>
      </w:r>
    </w:p>
    <w:p>
      <w:pPr>
        <w:pStyle w:val="OABody"/>
        <w:keepNext/>
        <w:numPr>
          <w:ilvl w:val="0"/>
          <w:numId w:val="1"/>
        </w:numPr>
        <w:spacing w:before="320" w:after="120" w:line="340" w:lineRule="auto"/>
        <w:jc w:val="left"/>
      </w:pPr>
      <w:r>
        <w:rPr>
          <w:b/>
          <w:bCs/>
        </w:rPr>
        <w:t xml:space="preserve">Tolling During Breach</w:t>
      </w:r>
    </w:p>
    <w:p>
      <w:pPr>
        <w:pStyle w:val="OABody"/>
        <w:spacing w:before="0" w:after="120" w:line="340" w:lineRule="auto"/>
        <w:ind w:left="720"/>
      </w:pPr>
      <w:r>
        <w:t xml:space="preserve">If Employee breaches any restrictive covenant in this agreement, the Restricted Period for that covenant is extended by one day for each day of the breach, up to the original duration of that covenant, so that the full duration of the restriction runs from the date the breach ends. The extension operates as a bounded, defined term rather than an open-ended restraint.</w:t>
      </w:r>
    </w:p>
    <w:p>
      <w:pPr>
        <w:pStyle w:val="OABody"/>
        <w:keepNext/>
        <w:numPr>
          <w:ilvl w:val="0"/>
          <w:numId w:val="1"/>
        </w:numPr>
        <w:spacing w:before="320" w:after="120" w:line="340" w:lineRule="auto"/>
        <w:jc w:val="left"/>
      </w:pPr>
      <w:r>
        <w:rPr>
          <w:b/>
          <w:bCs/>
        </w:rPr>
        <w:t xml:space="preserve">Remedies</w:t>
      </w:r>
    </w:p>
    <w:p>
      <w:pPr>
        <w:pStyle w:val="OABody"/>
        <w:spacing w:before="0" w:after="120" w:line="340" w:lineRule="auto"/>
        <w:ind w:left="720"/>
      </w:pPr>
      <w:r>
        <w:t xml:space="preserve">Employee acknowledges that a breach of this agreement may cause Employer irreparable harm for which money damages would be inadequate. Employer may seek injunctive or other equitable relief in addition to any other remedies available at law; any injunction will track each covenant as revised under NRS 613.195(6), not necessarily as written. Employee retains the mandatory award of reasonable attorney's fees and costs that NRS 613.195(7) requires where a covenant applies to an Employee paid solely on an hourly wage basis or where Employer has restricted or attempted to restrict protected volunteer-customer service, and no provision of this agreement displaces that statutory award.</w:t>
      </w:r>
    </w:p>
    <w:p>
      <w:pPr>
        <w:pStyle w:val="OABody"/>
        <w:keepNext/>
        <w:numPr>
          <w:ilvl w:val="0"/>
          <w:numId w:val="1"/>
        </w:numPr>
        <w:spacing w:before="320" w:after="120" w:line="340" w:lineRule="auto"/>
        <w:jc w:val="left"/>
      </w:pPr>
      <w:r>
        <w:rPr>
          <w:b/>
          <w:bCs/>
        </w:rPr>
        <w:t xml:space="preserve">Enforceability and Severability</w:t>
      </w:r>
    </w:p>
    <w:p>
      <w:pPr>
        <w:pStyle w:val="OABody"/>
        <w:spacing w:before="0" w:after="120" w:line="340" w:lineRule="auto"/>
        <w:ind w:left="720"/>
      </w:pPr>
      <w:r>
        <w:t xml:space="preserve">If any provision of this agreement is found to be unenforceable, the remaining provisions remain in full force and effect. Each restrictive covenant in this agreement is intended to be independently enforceable.</w:t>
      </w:r>
    </w:p>
    <w:p>
      <w:pPr>
        <w:pStyle w:val="OABody"/>
        <w:keepNext/>
        <w:numPr>
          <w:ilvl w:val="0"/>
          <w:numId w:val="1"/>
        </w:numPr>
        <w:spacing w:before="320" w:after="120" w:line="340" w:lineRule="auto"/>
        <w:jc w:val="left"/>
      </w:pPr>
      <w:r>
        <w:rPr>
          <w:b/>
          <w:bCs/>
        </w:rPr>
        <w:t xml:space="preserve">Reformation and Mandatory Judicial Revision</w:t>
      </w:r>
    </w:p>
    <w:p>
      <w:pPr>
        <w:pStyle w:val="OABody"/>
        <w:spacing w:before="0" w:after="120" w:line="340" w:lineRule="auto"/>
        <w:ind w:left="720"/>
      </w:pPr>
      <w:r>
        <w:t xml:space="preserve">The parties acknowledge that NRS 613.195(6) makes judicial revision mandatory, not discretionary: where a covenant is supported by valuable consideration but its limitations as to time, geographical area, or scope of activity are unreasonable, impose a greater restraint than is necessary for Employer's protection, or impose undue hardship on Employee, the court shall revise the covenant to the extent necessary and enforce it as revised. Each restrictive covenant here is drawn no broader than necessary and is intended to be enforceable as written rather than in reliance on judicial revision. The parties further authorize a court to blue-pencil any overbroad restraint that the mandatory-revision statute does not reach.</w:t>
      </w:r>
    </w:p>
    <w:p>
      <w:pPr>
        <w:pStyle w:val="OABody"/>
        <w:keepNext/>
        <w:numPr>
          <w:ilvl w:val="0"/>
          <w:numId w:val="1"/>
        </w:numPr>
        <w:spacing w:before="320" w:after="120" w:line="340" w:lineRule="auto"/>
        <w:jc w:val="left"/>
      </w:pPr>
      <w:r>
        <w:rPr>
          <w:b/>
          <w:bCs/>
        </w:rPr>
        <w:t xml:space="preserve">Survival and Expiration of Each Covenant</w:t>
      </w:r>
    </w:p>
    <w:p>
      <w:pPr>
        <w:pStyle w:val="OABody"/>
        <w:spacing w:before="0" w:after="120" w:line="340" w:lineRule="auto"/>
        <w:ind w:left="720"/>
      </w:pPr>
      <w:r>
        <w:t xml:space="preserve">Each restrictive covenant in this agreement survives the termination of Employee's employment for the Restricted Period specified in Cover Terms, so that if a court revises one covenant's duration the separately stated survival terms of the others are unaffected. Obligations under the Confidential Information and Trade Secret Protection section survive indefinitely to the extent they relate to trade secrets. All other provisions survive to the extent necessary to enforce rights that arose during employment.</w:t>
      </w:r>
    </w:p>
    <w:p>
      <w:pPr>
        <w:pStyle w:val="OABody"/>
        <w:keepNext/>
        <w:numPr>
          <w:ilvl w:val="0"/>
          <w:numId w:val="1"/>
        </w:numPr>
        <w:spacing w:before="320" w:after="120" w:line="340" w:lineRule="auto"/>
        <w:jc w:val="left"/>
      </w:pPr>
      <w:r>
        <w:rPr>
          <w:b/>
          <w:bCs/>
        </w:rPr>
        <w:t xml:space="preserve">Assignment and Successors</w:t>
      </w:r>
    </w:p>
    <w:p>
      <w:pPr>
        <w:pStyle w:val="OABody"/>
        <w:spacing w:before="0" w:after="120" w:line="340" w:lineRule="auto"/>
        <w:ind w:left="720"/>
      </w:pPr>
      <w:r>
        <w:t xml:space="preserve">Employee may not assign this agreement or any rights or obligations under it. Employer may assign this agreement to any affiliate or to a successor that acquires Employer's business through a statutory merger, in which case the covenants pass by operation of law. In an asset sale, however, the covenants not to compete and not to solicit are personal in nature and are not assignable to the purchaser absent Employee's express consent, obtained through arm's-length negotiation and supported by valuable consideration beyond that necessary to support the underlying covenants; a general successors-and-assigns clause does not substitute for that consent. This section does not affect any reasonable sale-of-business covenant permitted under NRS 598A.040(5). This agreement is binding on and inures to the benefit of the parties and their respective heirs, successors, and permitted assigns.</w:t>
      </w:r>
    </w:p>
    <w:p>
      <w:pPr>
        <w:pStyle w:val="OABody"/>
        <w:keepNext/>
        <w:numPr>
          <w:ilvl w:val="0"/>
          <w:numId w:val="1"/>
        </w:numPr>
        <w:spacing w:before="320" w:after="120" w:line="340" w:lineRule="auto"/>
        <w:jc w:val="left"/>
      </w:pPr>
      <w:r>
        <w:rPr>
          <w:b/>
          <w:bCs/>
        </w:rPr>
        <w:t xml:space="preserve">Governing Law, Venue, and Dispute Process</w:t>
      </w:r>
    </w:p>
    <w:p>
      <w:pPr>
        <w:pStyle w:val="OABody"/>
        <w:spacing w:before="0" w:after="120" w:line="340" w:lineRule="auto"/>
        <w:ind w:left="720"/>
      </w:pPr>
      <w:r>
        <w:t xml:space="preserve">This agreement is governed by the law listed in Cover Terms, including NRS 613.195 and NRS 613.200 where Nevada law applies. Disputes will be resolved in the courts of the Governing Law state, subject to non-waivable rights under applicable law.</w:t>
      </w:r>
    </w:p>
    <w:p>
      <w:pPr>
        <w:pStyle w:val="OABody"/>
        <w:keepNext/>
        <w:numPr>
          <w:ilvl w:val="0"/>
          <w:numId w:val="1"/>
        </w:numPr>
        <w:spacing w:before="320" w:after="120" w:line="340" w:lineRule="auto"/>
        <w:jc w:val="left"/>
      </w:pPr>
      <w:r>
        <w:rPr>
          <w:b/>
          <w:bCs/>
        </w:rPr>
        <w:t xml:space="preserve">Entire Agreement, Amendment, Waiver, and Electronic Signatures</w:t>
      </w:r>
    </w:p>
    <w:p>
      <w:pPr>
        <w:pStyle w:val="OABody"/>
        <w:spacing w:before="0" w:after="120" w:line="340" w:lineRule="auto"/>
        <w:ind w:left="720"/>
      </w:pPr>
      <w:r>
        <w:t xml:space="preserve">This agreement constitutes the entire agreement between the parties regarding its subject matter and supersedes all prior agreements, understandings, and negotiations on this subject. This agreement may be amended only in writing signed by both parties; any amendment that tightens a restrictive covenant must state the fresh valuable consideration given for the new restriction, so that the tightened restraint stays appropriate in relation to its consideration under NRS 613.195(1)(a) and (d). A party's failure to enforce any provision does not waive that party's right to enforce it later. This agreement may be executed in counterparts, including by electronic signature, each of which is an original.</w:t>
      </w:r>
    </w:p>
    <w:p>
      <w:pPr>
        <w:sectPr>
          <w:headerReference w:type="default" r:id="rId4"/>
          <w:footerReference w:type="default" r:id="rId5"/>
          <w:type w:val="nextPage"/>
          <w:pgSz w:w="12240" w:h="15840"/>
          <w:pgMar w:top="936" w:right="1080" w:bottom="720" w:left="1080" w:header="360" w:footer="432" w:gutter="0"/>
        </w:sectPr>
      </w:pPr>
    </w:p>
    <w:p>
      <w:pPr>
        <w:pStyle w:val="OASectionHeading"/>
      </w:pPr>
      <w:r>
        <w:t xml:space="preserve">Signatures</w:t>
      </w:r>
    </w:p>
    <w:p>
      <w:pPr>
        <w:pStyle w:val="OABody"/>
      </w:pPr>
      <w:r>
        <w:t xml:space="preserve">By signing this agreement, each party acknowledges and agrees to the restrictive covenant obligations above. Employee confirms having read and understood each provision, including the Cover Terms.</w:t>
      </w:r>
    </w:p>
    <w:tbl>
      <w:tblPr>
        <w:tblW w:w="576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Pr>
      <w:tblGrid>
        <w:gridCol w:w="1440"/>
        <w:gridCol w:w="4320"/>
      </w:tblGrid>
      <w:t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480" w:after="0"/>
            </w:pPr>
            <w:r>
              <w:rPr>
                <w:rFonts w:ascii="Arial" w:hAnsi="Arial" w:cs="Arial"/>
                <w:b/>
                <w:bCs/>
                <w:caps/>
                <w:color w:val="1D2021"/>
                <w:sz w:val="18"/>
                <w:szCs w:val="18"/>
              </w:rPr>
              <w:t xml:space="preserve">Employer</w:t>
            </w:r>
          </w:p>
        </w:tc>
        <w:tc>
          <w:tcPr>
            <w:tcW w:w="432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480" w:after="0"/>
            </w:pPr>
            <w:r>
              <w:rPr>
                <w:rFonts w:ascii="Arial" w:hAnsi="Arial" w:cs="Arial"/>
                <w:b/>
                <w:bCs/>
                <w:color w:val="1D2021"/>
                <w:sz w:val="22"/>
                <w:szCs w:val="22"/>
                <w:highlight w:val="yellow"/>
              </w:rPr>
              <w:t xml:space="preserve">{employer_name}</w:t>
            </w:r>
          </w:p>
        </w:tc>
      </w:tr>
      <w:tr>
        <w:trPr>
          <w:trHeight w:val="576" w:hRule="atLeast"/>
        </w:trP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0" w:after="0"/>
            </w:pPr>
            <w:r>
              <w:rPr>
                <w:rFonts w:ascii="Arial" w:hAnsi="Arial" w:cs="Arial"/>
                <w:color w:val="494A4B"/>
                <w:sz w:val="22"/>
                <w:szCs w:val="22"/>
              </w:rPr>
              <w:t xml:space="preserve">Signature</w:t>
            </w:r>
          </w:p>
        </w:tc>
        <w:tc>
          <w:tcPr>
            <w:tcW w:w="4320" w:type="dxa"/>
            <w:tcBorders>
              <w:top w:val="none" w:sz="0" w:space="0" w:color="auto"/>
              <w:left w:val="none" w:sz="0" w:space="0" w:color="auto"/>
              <w:bottom w:val="single" w:sz="6" w:space="0" w:color="494A4B"/>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0" w:after="0"/>
            </w:pPr>
          </w:p>
        </w:tc>
      </w:tr>
      <w:t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0" w:after="0"/>
            </w:pPr>
            <w:r>
              <w:rPr>
                <w:rFonts w:ascii="Arial" w:hAnsi="Arial" w:cs="Arial"/>
                <w:color w:val="494A4B"/>
                <w:sz w:val="22"/>
                <w:szCs w:val="22"/>
              </w:rPr>
              <w:t xml:space="preserve">Signatory Name</w:t>
            </w:r>
          </w:p>
        </w:tc>
        <w:tc>
          <w:tcPr>
            <w:tcW w:w="4320" w:type="dxa"/>
            <w:tcBorders>
              <w:top w:val="none" w:sz="0" w:space="0" w:color="auto"/>
              <w:left w:val="none" w:sz="0" w:space="0" w:color="auto"/>
              <w:bottom w:val="single" w:sz="6" w:space="0" w:color="494A4B"/>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0" w:after="0"/>
            </w:pPr>
            <w:r>
              <w:rPr>
                <w:rFonts w:ascii="Arial" w:hAnsi="Arial" w:cs="Arial"/>
                <w:color w:val="1D2021"/>
                <w:sz w:val="22"/>
                <w:szCs w:val="22"/>
                <w:highlight w:val="yellow"/>
              </w:rPr>
              <w:t xml:space="preserve">{employer_signatory_name}</w:t>
            </w:r>
          </w:p>
        </w:tc>
      </w:tr>
      <w:t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0" w:after="0"/>
            </w:pPr>
            <w:r>
              <w:rPr>
                <w:rFonts w:ascii="Arial" w:hAnsi="Arial" w:cs="Arial"/>
                <w:color w:val="494A4B"/>
                <w:sz w:val="22"/>
                <w:szCs w:val="22"/>
              </w:rPr>
              <w:t xml:space="preserve">Title</w:t>
            </w:r>
          </w:p>
        </w:tc>
        <w:tc>
          <w:tcPr>
            <w:tcW w:w="4320" w:type="dxa"/>
            <w:tcBorders>
              <w:top w:val="none" w:sz="0" w:space="0" w:color="auto"/>
              <w:left w:val="none" w:sz="0" w:space="0" w:color="auto"/>
              <w:bottom w:val="single" w:sz="6" w:space="0" w:color="494A4B"/>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0" w:after="0"/>
            </w:pPr>
            <w:r>
              <w:rPr>
                <w:rFonts w:ascii="Arial" w:hAnsi="Arial" w:cs="Arial"/>
                <w:color w:val="1D2021"/>
                <w:sz w:val="22"/>
                <w:szCs w:val="22"/>
                <w:highlight w:val="yellow"/>
              </w:rPr>
              <w:t xml:space="preserve">{employer_signatory_title}</w:t>
            </w:r>
          </w:p>
        </w:tc>
      </w:tr>
      <w:t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0" w:after="0"/>
            </w:pPr>
            <w:r>
              <w:rPr>
                <w:rFonts w:ascii="Arial" w:hAnsi="Arial" w:cs="Arial"/>
                <w:color w:val="494A4B"/>
                <w:sz w:val="22"/>
                <w:szCs w:val="22"/>
              </w:rPr>
              <w:t xml:space="preserve">Date</w:t>
            </w:r>
          </w:p>
        </w:tc>
        <w:tc>
          <w:tcPr>
            <w:tcW w:w="4320" w:type="dxa"/>
            <w:tcBorders>
              <w:top w:val="none" w:sz="0" w:space="0" w:color="auto"/>
              <w:left w:val="none" w:sz="0" w:space="0" w:color="auto"/>
              <w:bottom w:val="single" w:sz="6" w:space="0" w:color="494A4B"/>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0" w:after="0"/>
            </w:pPr>
          </w:p>
        </w:tc>
      </w:tr>
    </w:tbl>
    <w:p>
      <w:pPr>
        <w:keepNext/>
        <w:spacing w:before="480" w:after="100"/>
        <w:jc w:val="left"/>
      </w:pPr>
      <w:r>
        <w:rPr>
          <w:rFonts w:ascii="Arial" w:hAnsi="Arial" w:cs="Arial"/>
          <w:b/>
          <w:bCs/>
          <w:caps/>
          <w:color w:val="1D2021"/>
          <w:sz w:val="18"/>
          <w:szCs w:val="18"/>
        </w:rPr>
        <w:t xml:space="preserve">Employee</w:t>
      </w:r>
    </w:p>
    <w:tbl>
      <w:tblPr>
        <w:tblW w:w="576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Pr>
      <w:tblGrid>
        <w:gridCol w:w="1440"/>
        <w:gridCol w:w="4320"/>
      </w:tblGrid>
      <w:tr>
        <w:trPr>
          <w:trHeight w:val="576" w:hRule="atLeast"/>
        </w:trP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0" w:after="0"/>
            </w:pPr>
            <w:r>
              <w:rPr>
                <w:rFonts w:ascii="Arial" w:hAnsi="Arial" w:cs="Arial"/>
                <w:color w:val="494A4B"/>
                <w:sz w:val="22"/>
                <w:szCs w:val="22"/>
              </w:rPr>
              <w:t xml:space="preserve">Signature</w:t>
            </w:r>
          </w:p>
        </w:tc>
        <w:tc>
          <w:tcPr>
            <w:tcW w:w="4320" w:type="dxa"/>
            <w:tcBorders>
              <w:top w:val="none" w:sz="0" w:space="0" w:color="auto"/>
              <w:left w:val="none" w:sz="0" w:space="0" w:color="auto"/>
              <w:bottom w:val="single" w:sz="6" w:space="0" w:color="494A4B"/>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0" w:after="0"/>
            </w:pPr>
          </w:p>
        </w:tc>
      </w:tr>
      <w:t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0" w:after="0"/>
            </w:pPr>
            <w:r>
              <w:rPr>
                <w:rFonts w:ascii="Arial" w:hAnsi="Arial" w:cs="Arial"/>
                <w:color w:val="494A4B"/>
                <w:sz w:val="22"/>
                <w:szCs w:val="22"/>
              </w:rPr>
              <w:t xml:space="preserve">Print Name</w:t>
            </w:r>
          </w:p>
        </w:tc>
        <w:tc>
          <w:tcPr>
            <w:tcW w:w="4320" w:type="dxa"/>
            <w:tcBorders>
              <w:top w:val="none" w:sz="0" w:space="0" w:color="auto"/>
              <w:left w:val="none" w:sz="0" w:space="0" w:color="auto"/>
              <w:bottom w:val="single" w:sz="6" w:space="0" w:color="494A4B"/>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0" w:after="0"/>
            </w:pPr>
            <w:r>
              <w:rPr>
                <w:rFonts w:ascii="Arial" w:hAnsi="Arial" w:cs="Arial"/>
                <w:color w:val="1D2021"/>
                <w:sz w:val="22"/>
                <w:szCs w:val="22"/>
                <w:highlight w:val="yellow"/>
              </w:rPr>
              <w:t xml:space="preserve">{employee_name}</w:t>
            </w:r>
          </w:p>
        </w:tc>
      </w:tr>
      <w:t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0" w:after="0"/>
            </w:pPr>
            <w:r>
              <w:rPr>
                <w:rFonts w:ascii="Arial" w:hAnsi="Arial" w:cs="Arial"/>
                <w:color w:val="494A4B"/>
                <w:sz w:val="22"/>
                <w:szCs w:val="22"/>
              </w:rPr>
              <w:t xml:space="preserve">Date</w:t>
            </w:r>
          </w:p>
        </w:tc>
        <w:tc>
          <w:tcPr>
            <w:tcW w:w="4320" w:type="dxa"/>
            <w:tcBorders>
              <w:top w:val="none" w:sz="0" w:space="0" w:color="auto"/>
              <w:left w:val="none" w:sz="0" w:space="0" w:color="auto"/>
              <w:bottom w:val="single" w:sz="6" w:space="0" w:color="494A4B"/>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0" w:after="0"/>
            </w:pPr>
          </w:p>
        </w:tc>
      </w:tr>
    </w:tbl>
    <w:p/>
    <w:sectPr>
      <w:headerReference w:type="default" r:id="rId6"/>
      <w:footerReference w:type="default" r:id="rId7"/>
      <w:pgSz w:w="12240" w:h="15840"/>
      <w:pgMar w:top="936" w:right="1080" w:bottom="720" w:left="1080" w:header="360" w:footer="432" w:gutter="0"/>
    </w:sectPr>
  </w:body>
</w:document>
</file>

<file path=word/fontTable.xml><?xml version="1.0" encoding="utf-8"?>
<w:fonts xmlns:w="http://schemas.openxmlformats.org/wordprocessingml/2006/main">
  <w:font w:name="Calibri">
    <w:charset w:val="00"/>
    <w:family w:val="auto"/>
    <w:pitch w:val="variable"/>
  </w:font>
  <w:font w:name="Arial">
    <w:charset w:val="00"/>
    <w:family w:val="auto"/>
    <w:pitch w:val="variable"/>
  </w:font>
  <w:font w:name="Georgia">
    <w:charset w:val="00"/>
    <w:family w:val="auto"/>
    <w:pitch w:val="variable"/>
  </w:font>
</w:fonts>
</file>

<file path=word/footer1.xml><?xml version="1.0" encoding="utf-8"?>
<w:ftr xmlns:w="http://schemas.openxmlformats.org/wordprocessingml/2006/main" xmlns:r="http://schemas.openxmlformats.org/officeDocument/2006/relationships">
  <w:p>
    <w:pPr>
      <w:tabs>
        <w:tab w:val="right" w:pos="10080"/>
      </w:tabs>
      <w:spacing w:before="0" w:after="0"/>
    </w:pPr>
    <w:r>
      <w:rPr>
        <w:rFonts w:ascii="Arial" w:hAnsi="Arial" w:cs="Arial"/>
        <w:color w:val="494A4B"/>
        <w:sz w:val="18"/>
        <w:szCs w:val="18"/>
      </w:rPr>
      <w:t xml:space="preserve">OpenAgreements Employee Restrictive Covenant (Nevada) (v0.1.0). Free to use under CC BY 4.0</w:t>
    </w:r>
    <w:r>
      <w:tab/>
    </w:r>
    <w:r>
      <w:rPr>
        <w:rFonts w:ascii="Arial" w:hAnsi="Arial" w:cs="Arial"/>
        <w:color w:val="494A4B"/>
        <w:sz w:val="18"/>
        <w:szCs w:val="18"/>
      </w:rPr>
      <w:t xml:space="preserve">Page </w:t>
    </w:r>
    <w:r>
      <w:rPr>
        <w:rFonts w:ascii="Arial" w:hAnsi="Arial" w:cs="Arial"/>
        <w:color w:val="494A4B"/>
        <w:sz w:val="18"/>
        <w:szCs w:val="18"/>
      </w:rPr>
      <w:fldChar w:fldCharType="begin"/>
    </w:r>
    <w:r>
      <w:rPr>
        <w:rFonts w:ascii="Arial" w:hAnsi="Arial" w:cs="Arial"/>
        <w:color w:val="494A4B"/>
        <w:sz w:val="18"/>
        <w:szCs w:val="18"/>
      </w:rPr>
      <w:instrText xml:space="preserve"> PAGE </w:instrText>
    </w:r>
    <w:r>
      <w:rPr>
        <w:rFonts w:ascii="Arial" w:hAnsi="Arial" w:cs="Arial"/>
        <w:color w:val="494A4B"/>
        <w:sz w:val="18"/>
        <w:szCs w:val="18"/>
      </w:rPr>
      <w:fldChar w:fldCharType="separate"/>
    </w:r>
    <w:r>
      <w:rPr>
        <w:rFonts w:ascii="Arial" w:hAnsi="Arial" w:cs="Arial"/>
        <w:color w:val="494A4B"/>
        <w:sz w:val="18"/>
        <w:szCs w:val="18"/>
      </w:rPr>
      <w:t xml:space="preserve">1</w:t>
    </w:r>
    <w:r>
      <w:rPr>
        <w:rFonts w:ascii="Arial" w:hAnsi="Arial" w:cs="Arial"/>
        <w:color w:val="494A4B"/>
        <w:sz w:val="18"/>
        <w:szCs w:val="18"/>
      </w:rPr>
      <w:fldChar w:fldCharType="end"/>
    </w:r>
    <w:r>
      <w:rPr>
        <w:rFonts w:ascii="Arial" w:hAnsi="Arial" w:cs="Arial"/>
        <w:color w:val="494A4B"/>
        <w:sz w:val="18"/>
        <w:szCs w:val="18"/>
      </w:rPr>
      <w:t xml:space="preserve"> of </w:t>
    </w:r>
    <w:r>
      <w:rPr>
        <w:rFonts w:ascii="Arial" w:hAnsi="Arial" w:cs="Arial"/>
        <w:color w:val="494A4B"/>
        <w:sz w:val="18"/>
        <w:szCs w:val="18"/>
      </w:rPr>
      <w:fldChar w:fldCharType="begin"/>
    </w:r>
    <w:r>
      <w:rPr>
        <w:rFonts w:ascii="Arial" w:hAnsi="Arial" w:cs="Arial"/>
        <w:color w:val="494A4B"/>
        <w:sz w:val="18"/>
        <w:szCs w:val="18"/>
      </w:rPr>
      <w:instrText xml:space="preserve"> NUMPAGES </w:instrText>
    </w:r>
    <w:r>
      <w:rPr>
        <w:rFonts w:ascii="Arial" w:hAnsi="Arial" w:cs="Arial"/>
        <w:color w:val="494A4B"/>
        <w:sz w:val="18"/>
        <w:szCs w:val="18"/>
      </w:rPr>
      <w:fldChar w:fldCharType="separate"/>
    </w:r>
    <w:r>
      <w:rPr>
        <w:rFonts w:ascii="Arial" w:hAnsi="Arial" w:cs="Arial"/>
        <w:color w:val="494A4B"/>
        <w:sz w:val="18"/>
        <w:szCs w:val="18"/>
      </w:rPr>
      <w:t xml:space="preserve">1</w:t>
    </w:r>
    <w:r>
      <w:rPr>
        <w:rFonts w:ascii="Arial" w:hAnsi="Arial" w:cs="Arial"/>
        <w:color w:val="494A4B"/>
        <w:sz w:val="18"/>
        <w:szCs w:val="18"/>
      </w:rPr>
      <w:fldChar w:fldCharType="end"/>
    </w:r>
  </w:p>
</w:ftr>
</file>

<file path=word/footer2.xml><?xml version="1.0" encoding="utf-8"?>
<w:ftr xmlns:w="http://schemas.openxmlformats.org/wordprocessingml/2006/main" xmlns:r="http://schemas.openxmlformats.org/officeDocument/2006/relationships">
  <w:p>
    <w:pPr>
      <w:tabs>
        <w:tab w:val="right" w:pos="10080"/>
      </w:tabs>
      <w:spacing w:before="0" w:after="0"/>
    </w:pPr>
    <w:r>
      <w:rPr>
        <w:rFonts w:ascii="Arial" w:hAnsi="Arial" w:cs="Arial"/>
        <w:color w:val="494A4B"/>
        <w:sz w:val="18"/>
        <w:szCs w:val="18"/>
      </w:rPr>
      <w:t xml:space="preserve">OpenAgreements Employee Restrictive Covenant (Nevada) (v0.1.0). Free to use under CC BY 4.0</w:t>
    </w:r>
    <w:r>
      <w:tab/>
    </w:r>
    <w:r>
      <w:rPr>
        <w:rFonts w:ascii="Arial" w:hAnsi="Arial" w:cs="Arial"/>
        <w:color w:val="494A4B"/>
        <w:sz w:val="18"/>
        <w:szCs w:val="18"/>
      </w:rPr>
      <w:t xml:space="preserve">Page </w:t>
    </w:r>
    <w:r>
      <w:rPr>
        <w:rFonts w:ascii="Arial" w:hAnsi="Arial" w:cs="Arial"/>
        <w:color w:val="494A4B"/>
        <w:sz w:val="18"/>
        <w:szCs w:val="18"/>
      </w:rPr>
      <w:fldChar w:fldCharType="begin"/>
    </w:r>
    <w:r>
      <w:rPr>
        <w:rFonts w:ascii="Arial" w:hAnsi="Arial" w:cs="Arial"/>
        <w:color w:val="494A4B"/>
        <w:sz w:val="18"/>
        <w:szCs w:val="18"/>
      </w:rPr>
      <w:instrText xml:space="preserve"> PAGE </w:instrText>
    </w:r>
    <w:r>
      <w:rPr>
        <w:rFonts w:ascii="Arial" w:hAnsi="Arial" w:cs="Arial"/>
        <w:color w:val="494A4B"/>
        <w:sz w:val="18"/>
        <w:szCs w:val="18"/>
      </w:rPr>
      <w:fldChar w:fldCharType="separate"/>
    </w:r>
    <w:r>
      <w:rPr>
        <w:rFonts w:ascii="Arial" w:hAnsi="Arial" w:cs="Arial"/>
        <w:color w:val="494A4B"/>
        <w:sz w:val="18"/>
        <w:szCs w:val="18"/>
      </w:rPr>
      <w:t xml:space="preserve">1</w:t>
    </w:r>
    <w:r>
      <w:rPr>
        <w:rFonts w:ascii="Arial" w:hAnsi="Arial" w:cs="Arial"/>
        <w:color w:val="494A4B"/>
        <w:sz w:val="18"/>
        <w:szCs w:val="18"/>
      </w:rPr>
      <w:fldChar w:fldCharType="end"/>
    </w:r>
    <w:r>
      <w:rPr>
        <w:rFonts w:ascii="Arial" w:hAnsi="Arial" w:cs="Arial"/>
        <w:color w:val="494A4B"/>
        <w:sz w:val="18"/>
        <w:szCs w:val="18"/>
      </w:rPr>
      <w:t xml:space="preserve"> of </w:t>
    </w:r>
    <w:r>
      <w:rPr>
        <w:rFonts w:ascii="Arial" w:hAnsi="Arial" w:cs="Arial"/>
        <w:color w:val="494A4B"/>
        <w:sz w:val="18"/>
        <w:szCs w:val="18"/>
      </w:rPr>
      <w:fldChar w:fldCharType="begin"/>
    </w:r>
    <w:r>
      <w:rPr>
        <w:rFonts w:ascii="Arial" w:hAnsi="Arial" w:cs="Arial"/>
        <w:color w:val="494A4B"/>
        <w:sz w:val="18"/>
        <w:szCs w:val="18"/>
      </w:rPr>
      <w:instrText xml:space="preserve"> NUMPAGES </w:instrText>
    </w:r>
    <w:r>
      <w:rPr>
        <w:rFonts w:ascii="Arial" w:hAnsi="Arial" w:cs="Arial"/>
        <w:color w:val="494A4B"/>
        <w:sz w:val="18"/>
        <w:szCs w:val="18"/>
      </w:rPr>
      <w:fldChar w:fldCharType="separate"/>
    </w:r>
    <w:r>
      <w:rPr>
        <w:rFonts w:ascii="Arial" w:hAnsi="Arial" w:cs="Arial"/>
        <w:color w:val="494A4B"/>
        <w:sz w:val="18"/>
        <w:szCs w:val="18"/>
      </w:rPr>
      <w:t xml:space="preserve">1</w:t>
    </w:r>
    <w:r>
      <w:rPr>
        <w:rFonts w:ascii="Arial" w:hAnsi="Arial" w:cs="Arial"/>
        <w:color w:val="494A4B"/>
        <w:sz w:val="18"/>
        <w:szCs w:val="18"/>
      </w:rPr>
      <w:fldChar w:fldCharType="end"/>
    </w:r>
  </w:p>
</w:ftr>
</file>

<file path=word/footer3.xml><?xml version="1.0" encoding="utf-8"?>
<w:ftr xmlns:w="http://schemas.openxmlformats.org/wordprocessingml/2006/main" xmlns:r="http://schemas.openxmlformats.org/officeDocument/2006/relationships">
  <w:p>
    <w:pPr>
      <w:tabs>
        <w:tab w:val="right" w:pos="10080"/>
      </w:tabs>
      <w:spacing w:before="0" w:after="0"/>
    </w:pPr>
    <w:r>
      <w:rPr>
        <w:rFonts w:ascii="Arial" w:hAnsi="Arial" w:cs="Arial"/>
        <w:color w:val="494A4B"/>
        <w:sz w:val="18"/>
        <w:szCs w:val="18"/>
      </w:rPr>
      <w:t xml:space="preserve">OpenAgreements Employee Restrictive Covenant (Nevada) (v0.1.0). Free to use under CC BY 4.0</w:t>
    </w:r>
    <w:r>
      <w:tab/>
    </w:r>
    <w:r>
      <w:rPr>
        <w:rFonts w:ascii="Arial" w:hAnsi="Arial" w:cs="Arial"/>
        <w:color w:val="494A4B"/>
        <w:sz w:val="18"/>
        <w:szCs w:val="18"/>
      </w:rPr>
      <w:t xml:space="preserve">Page </w:t>
    </w:r>
    <w:r>
      <w:rPr>
        <w:rFonts w:ascii="Arial" w:hAnsi="Arial" w:cs="Arial"/>
        <w:color w:val="494A4B"/>
        <w:sz w:val="18"/>
        <w:szCs w:val="18"/>
      </w:rPr>
      <w:fldChar w:fldCharType="begin"/>
    </w:r>
    <w:r>
      <w:rPr>
        <w:rFonts w:ascii="Arial" w:hAnsi="Arial" w:cs="Arial"/>
        <w:color w:val="494A4B"/>
        <w:sz w:val="18"/>
        <w:szCs w:val="18"/>
      </w:rPr>
      <w:instrText xml:space="preserve"> PAGE </w:instrText>
    </w:r>
    <w:r>
      <w:rPr>
        <w:rFonts w:ascii="Arial" w:hAnsi="Arial" w:cs="Arial"/>
        <w:color w:val="494A4B"/>
        <w:sz w:val="18"/>
        <w:szCs w:val="18"/>
      </w:rPr>
      <w:fldChar w:fldCharType="separate"/>
    </w:r>
    <w:r>
      <w:rPr>
        <w:rFonts w:ascii="Arial" w:hAnsi="Arial" w:cs="Arial"/>
        <w:color w:val="494A4B"/>
        <w:sz w:val="18"/>
        <w:szCs w:val="18"/>
      </w:rPr>
      <w:t xml:space="preserve">1</w:t>
    </w:r>
    <w:r>
      <w:rPr>
        <w:rFonts w:ascii="Arial" w:hAnsi="Arial" w:cs="Arial"/>
        <w:color w:val="494A4B"/>
        <w:sz w:val="18"/>
        <w:szCs w:val="18"/>
      </w:rPr>
      <w:fldChar w:fldCharType="end"/>
    </w:r>
    <w:r>
      <w:rPr>
        <w:rFonts w:ascii="Arial" w:hAnsi="Arial" w:cs="Arial"/>
        <w:color w:val="494A4B"/>
        <w:sz w:val="18"/>
        <w:szCs w:val="18"/>
      </w:rPr>
      <w:t xml:space="preserve"> of </w:t>
    </w:r>
    <w:r>
      <w:rPr>
        <w:rFonts w:ascii="Arial" w:hAnsi="Arial" w:cs="Arial"/>
        <w:color w:val="494A4B"/>
        <w:sz w:val="18"/>
        <w:szCs w:val="18"/>
      </w:rPr>
      <w:fldChar w:fldCharType="begin"/>
    </w:r>
    <w:r>
      <w:rPr>
        <w:rFonts w:ascii="Arial" w:hAnsi="Arial" w:cs="Arial"/>
        <w:color w:val="494A4B"/>
        <w:sz w:val="18"/>
        <w:szCs w:val="18"/>
      </w:rPr>
      <w:instrText xml:space="preserve"> NUMPAGES </w:instrText>
    </w:r>
    <w:r>
      <w:rPr>
        <w:rFonts w:ascii="Arial" w:hAnsi="Arial" w:cs="Arial"/>
        <w:color w:val="494A4B"/>
        <w:sz w:val="18"/>
        <w:szCs w:val="18"/>
      </w:rPr>
      <w:fldChar w:fldCharType="separate"/>
    </w:r>
    <w:r>
      <w:rPr>
        <w:rFonts w:ascii="Arial" w:hAnsi="Arial" w:cs="Arial"/>
        <w:color w:val="494A4B"/>
        <w:sz w:val="18"/>
        <w:szCs w:val="18"/>
      </w:rPr>
      <w:t xml:space="preserve">1</w:t>
    </w:r>
    <w:r>
      <w:rPr>
        <w:rFonts w:ascii="Arial" w:hAnsi="Arial" w:cs="Arial"/>
        <w:color w:val="494A4B"/>
        <w:sz w:val="18"/>
        <w:szCs w:val="18"/>
      </w:rPr>
      <w:fldChar w:fldCharType="end"/>
    </w:r>
  </w:p>
</w:ftr>
</file>

<file path=word/header1.xml><?xml version="1.0" encoding="utf-8"?>
<w:hdr xmlns:w="http://schemas.openxmlformats.org/wordprocessingml/2006/main" xmlns:r="http://schemas.openxmlformats.org/officeDocument/2006/relationships">
  <w:tbl>
    <w:tblPr>
      <w:tblW w:w="10080" w:type="dxa"/>
      <w:tblBorders>
        <w:top w:val="none" w:sz="0" w:space="0" w:color="auto"/>
        <w:left w:val="none" w:sz="0" w:space="0" w:color="auto"/>
        <w:bottom w:val="single" w:sz="8" w:space="0" w:color="107087"/>
        <w:right w:val="none" w:sz="0" w:space="0" w:color="auto"/>
        <w:insideH w:val="none" w:sz="0" w:space="0" w:color="auto"/>
        <w:insideV w:val="none" w:sz="0" w:space="0" w:color="auto"/>
      </w:tblBorders>
      <w:tblLayout w:type="fixed"/>
    </w:tblPr>
    <w:tblGrid>
      <w:gridCol w:w="10080"/>
    </w:tblGrid>
    <w:tr>
      <w:tc>
        <w:tcPr>
          <w:tcW w:w="10080" w:type="dxa"/>
          <w:tcBorders>
            <w:bottom w:val="single" w:sz="8" w:space="0" w:color="107087"/>
          </w:tcBorders>
          <w:tcMar>
            <w:top w:w="0" w:type="dxa"/>
            <w:left w:w="0" w:type="dxa"/>
            <w:bottom w:w="40" w:type="dxa"/>
            <w:right w:w="0" w:type="dxa"/>
          </w:tcMar>
        </w:tcPr>
        <w:p>
          <w:pPr>
            <w:spacing w:after="0"/>
            <w:jc w:val="right"/>
          </w:pPr>
          <w:r>
            <w:rPr>
              <w:rFonts w:ascii="Arial" w:hAnsi="Arial" w:cs="Arial"/>
              <w:b/>
              <w:bCs/>
              <w:caps/>
              <w:color w:val="107087"/>
              <w:sz w:val="18"/>
              <w:szCs w:val="18"/>
            </w:rPr>
            <w:t xml:space="preserve">Cover Terms</w:t>
          </w:r>
        </w:p>
      </w:tc>
    </w:tr>
  </w:tbl>
</w:hdr>
</file>

<file path=word/header2.xml><?xml version="1.0" encoding="utf-8"?>
<w:hdr xmlns:w="http://schemas.openxmlformats.org/wordprocessingml/2006/main" xmlns:r="http://schemas.openxmlformats.org/officeDocument/2006/relationships">
  <w:tbl>
    <w:tblPr>
      <w:tblW w:w="10080" w:type="dxa"/>
      <w:tblBorders>
        <w:top w:val="none" w:sz="0" w:space="0" w:color="auto"/>
        <w:left w:val="none" w:sz="0" w:space="0" w:color="auto"/>
        <w:bottom w:val="single" w:sz="8" w:space="0" w:color="107087"/>
        <w:right w:val="none" w:sz="0" w:space="0" w:color="auto"/>
        <w:insideH w:val="none" w:sz="0" w:space="0" w:color="auto"/>
        <w:insideV w:val="none" w:sz="0" w:space="0" w:color="auto"/>
      </w:tblBorders>
      <w:tblLayout w:type="fixed"/>
    </w:tblPr>
    <w:tblGrid>
      <w:gridCol w:w="10080"/>
    </w:tblGrid>
    <w:tr>
      <w:tc>
        <w:tcPr>
          <w:tcW w:w="10080" w:type="dxa"/>
          <w:tcBorders>
            <w:bottom w:val="single" w:sz="8" w:space="0" w:color="107087"/>
          </w:tcBorders>
          <w:tcMar>
            <w:top w:w="0" w:type="dxa"/>
            <w:left w:w="0" w:type="dxa"/>
            <w:bottom w:w="40" w:type="dxa"/>
            <w:right w:w="0" w:type="dxa"/>
          </w:tcMar>
        </w:tcPr>
        <w:p>
          <w:pPr>
            <w:spacing w:after="0"/>
            <w:jc w:val="right"/>
          </w:pPr>
          <w:r>
            <w:rPr>
              <w:rFonts w:ascii="Arial" w:hAnsi="Arial" w:cs="Arial"/>
              <w:b/>
              <w:bCs/>
              <w:caps/>
              <w:color w:val="107087"/>
              <w:sz w:val="18"/>
              <w:szCs w:val="18"/>
            </w:rPr>
            <w:t xml:space="preserve">Standard Terms</w:t>
          </w:r>
        </w:p>
      </w:tc>
    </w:tr>
  </w:tbl>
</w:hdr>
</file>

<file path=word/header3.xml><?xml version="1.0" encoding="utf-8"?>
<w:hdr xmlns:w="http://schemas.openxmlformats.org/wordprocessingml/2006/main" xmlns:r="http://schemas.openxmlformats.org/officeDocument/2006/relationships">
  <w:tbl>
    <w:tblPr>
      <w:tblW w:w="10080" w:type="dxa"/>
      <w:tblBorders>
        <w:top w:val="none" w:sz="0" w:space="0" w:color="auto"/>
        <w:left w:val="none" w:sz="0" w:space="0" w:color="auto"/>
        <w:bottom w:val="single" w:sz="8" w:space="0" w:color="107087"/>
        <w:right w:val="none" w:sz="0" w:space="0" w:color="auto"/>
        <w:insideH w:val="none" w:sz="0" w:space="0" w:color="auto"/>
        <w:insideV w:val="none" w:sz="0" w:space="0" w:color="auto"/>
      </w:tblBorders>
      <w:tblLayout w:type="fixed"/>
    </w:tblPr>
    <w:tblGrid>
      <w:gridCol w:w="10080"/>
    </w:tblGrid>
    <w:tr>
      <w:tc>
        <w:tcPr>
          <w:tcW w:w="10080" w:type="dxa"/>
          <w:tcBorders>
            <w:bottom w:val="single" w:sz="8" w:space="0" w:color="107087"/>
          </w:tcBorders>
          <w:tcMar>
            <w:top w:w="0" w:type="dxa"/>
            <w:left w:w="0" w:type="dxa"/>
            <w:bottom w:w="40" w:type="dxa"/>
            <w:right w:w="0" w:type="dxa"/>
          </w:tcMar>
        </w:tcPr>
        <w:p>
          <w:pPr>
            <w:spacing w:after="0"/>
            <w:jc w:val="right"/>
          </w:pPr>
          <w:r>
            <w:rPr>
              <w:rFonts w:ascii="Arial" w:hAnsi="Arial" w:cs="Arial"/>
              <w:b/>
              <w:bCs/>
              <w:caps/>
              <w:color w:val="107087"/>
              <w:sz w:val="18"/>
              <w:szCs w:val="18"/>
            </w:rPr>
            <w:t xml:space="preserve">Signature Page</w:t>
          </w:r>
        </w:p>
      </w:tc>
    </w:tr>
  </w:tbl>
</w:hdr>
</file>

<file path=word/numbering.xml><?xml version="1.0" encoding="utf-8"?>
<w:numbering xmlns:w="http://schemas.openxmlformats.org/wordprocessingml/2006/main">
  <w:abstractNum w:abstractNumId="0">
    <w:multiLevelType w:val="multilevel"/>
    <w:lvl w:ilvl="0">
      <w:start w:val="1"/>
      <w:numFmt w:val="decimal"/>
      <w:lvlText w:val="%1."/>
      <w:lvlJc w:val="right"/>
      <w:pPr>
        <w:ind w:left="720" w:hanging="144"/>
      </w:pPr>
    </w:lvl>
    <w:lvl w:ilvl="1">
      <w:start w:val="1"/>
      <w:numFmt w:val="decimal"/>
      <w:lvlText w:val="%1.%2"/>
      <w:lvlJc w:val="right"/>
      <w:pPr>
        <w:ind w:left="720" w:hanging="144"/>
      </w:pPr>
    </w:lvl>
    <w:lvl w:ilvl="2">
      <w:start w:val="1"/>
      <w:numFmt w:val="lowerLetter"/>
      <w:lvlText w:val="(%3)"/>
      <w:lvlJc w:val="right"/>
      <w:pPr>
        <w:ind w:left="1008" w:hanging="144"/>
      </w:pPr>
    </w:lvl>
    <w:lvl w:ilvl="3">
      <w:start w:val="1"/>
      <w:numFmt w:val="lowerRoman"/>
      <w:lvlText w:val="(%4)"/>
      <w:lvlJc w:val="right"/>
      <w:pPr>
        <w:ind w:left="1296" w:hanging="144"/>
      </w:pPr>
    </w:lvl>
    <w:lvl w:ilvl="4">
      <w:start w:val="1"/>
      <w:numFmt w:val="upperLetter"/>
      <w:lvlText w:val="(%5)"/>
      <w:lvlJc w:val="right"/>
      <w:pPr>
        <w:ind w:left="1584" w:hanging="144"/>
      </w:pPr>
    </w:lvl>
    <w:lvl w:ilvl="5">
      <w:start w:val="1"/>
      <w:numFmt w:val="decimal"/>
      <w:lvlText w:val="(%6)"/>
      <w:lvlJc w:val="right"/>
      <w:pPr>
        <w:ind w:left="1872" w:hanging="144"/>
      </w:pPr>
    </w:lvl>
  </w:abstractNum>
  <w:num w:numId="1">
    <w:abstractNumId w:val="0"/>
  </w:num>
</w:numbering>
</file>

<file path=word/styles.xml><?xml version="1.0" encoding="utf-8"?>
<w:styles xmlns:w="http://schemas.openxmlformats.org/wordprocessingml/2006/main">
  <w:docDefaults>
    <w:rPrDefault>
      <w:rPr>
        <w:rFonts w:ascii="Calibri" w:hAnsi="Calibri" w:cs="Calibri"/>
        <w:sz w:val="22"/>
        <w:szCs w:val="22"/>
      </w:rPr>
    </w:rPrDefault>
    <w:pPrDefault/>
  </w:docDefaults>
  <w:style w:type="paragraph" w:styleId="Normal" w:default="1">
    <w:name w:val="Normal"/>
    <w:qFormat/>
  </w:style>
  <w:style w:type="paragraph" w:styleId="OABody">
    <w:name w:val="OA Body"/>
    <w:basedOn w:val="Normal"/>
    <w:next w:val="OABody"/>
    <w:qFormat/>
    <w:pPr>
      <w:spacing w:after="280" w:line="340" w:lineRule="auto"/>
      <w:jc w:val="both"/>
    </w:pPr>
    <w:rPr>
      <w:rFonts w:ascii="Arial" w:hAnsi="Arial" w:cs="Arial"/>
      <w:color w:val="1D2021"/>
      <w:sz w:val="22"/>
      <w:szCs w:val="22"/>
    </w:rPr>
  </w:style>
  <w:style w:type="paragraph" w:styleId="OATitle">
    <w:name w:val="OA Title"/>
    <w:basedOn w:val="Normal"/>
    <w:next w:val="OABody"/>
    <w:qFormat/>
    <w:pPr>
      <w:keepNext/>
      <w:spacing w:before="240" w:after="210" w:line="340" w:lineRule="auto"/>
      <w:jc w:val="left"/>
    </w:pPr>
    <w:rPr>
      <w:rFonts w:ascii="Georgia" w:hAnsi="Georgia" w:cs="Georgia"/>
      <w:color w:val="1D2021"/>
      <w:sz w:val="52"/>
      <w:szCs w:val="52"/>
    </w:rPr>
  </w:style>
  <w:style w:type="paragraph" w:styleId="OASectionHeading">
    <w:name w:val="OA Section Heading"/>
    <w:basedOn w:val="Normal"/>
    <w:next w:val="OABody"/>
    <w:qFormat/>
    <w:pPr>
      <w:keepNext/>
      <w:spacing w:before="240" w:after="120" w:line="340" w:lineRule="auto"/>
      <w:jc w:val="left"/>
    </w:pPr>
    <w:rPr>
      <w:rFonts w:ascii="Arial" w:hAnsi="Arial" w:cs="Arial"/>
      <w:b/>
      <w:bCs/>
      <w:color w:val="117086"/>
      <w:sz w:val="30"/>
      <w:szCs w:val="30"/>
    </w:rPr>
  </w:style>
  <w:style w:type="paragraph" w:styleId="OASubHeading">
    <w:name w:val="OA Sub Heading"/>
    <w:basedOn w:val="Normal"/>
    <w:next w:val="OABody"/>
    <w:qFormat/>
    <w:pPr>
      <w:keepNext/>
      <w:spacing w:before="320" w:after="120" w:line="340" w:lineRule="auto"/>
      <w:jc w:val="left"/>
    </w:pPr>
    <w:rPr>
      <w:rFonts w:ascii="Arial" w:hAnsi="Arial" w:cs="Arial"/>
      <w:b/>
      <w:bCs/>
      <w:color w:val="1D2021"/>
      <w:sz w:val="24"/>
      <w:szCs w:val="24"/>
    </w:rPr>
  </w:style>
</w:styles>
</file>

<file path=word/webSettings.xml><?xml version="1.0" encoding="utf-8"?>
<w:webSettings xmlns:w="http://schemas.openxmlformats.org/wordprocessingml/2006/main">
  <w:optimizeForBrowser/>
  <w:allowPNG/>
</w:webSettings>
</file>

<file path=word/_rels/document.xml.rels><?xml version="1.0" encoding="UTF-8" standalone="yes"?><Relationships xmlns="http://schemas.openxmlformats.org/package/2006/relationships"><Relationship Id="rId1" Type="http://schemas.openxmlformats.org/officeDocument/2006/relationships/numbering" Target="numbering.xml"/><Relationship Id="rId2" Type="http://schemas.openxmlformats.org/officeDocument/2006/relationships/header" Target="header1.xml"/><Relationship Id="rId3" Type="http://schemas.openxmlformats.org/officeDocument/2006/relationships/footer" Target="footer1.xml"/><Relationship Id="rId4" Type="http://schemas.openxmlformats.org/officeDocument/2006/relationships/header" Target="header2.xml"/><Relationship Id="rId5" Type="http://schemas.openxmlformats.org/officeDocument/2006/relationships/footer" Target="footer2.xml"/><Relationship Id="rId6" Type="http://schemas.openxmlformats.org/officeDocument/2006/relationships/header" Target="header3.xml"/><Relationship Id="rId7" Type="http://schemas.openxmlformats.org/officeDocument/2006/relationships/footer" Target="footer3.xml"/><Relationship Id="rId8" Type="http://schemas.openxmlformats.org/officeDocument/2006/relationships/styles" Target="styles.xml"/><Relationship Id="rId9" Type="http://schemas.openxmlformats.org/officeDocument/2006/relationships/theme" Target="theme/theme1.xml"/><Relationship Id="rId10" Type="http://schemas.openxmlformats.org/officeDocument/2006/relationships/fontTable" Target="fontTable.xml"/><Relationship Id="rId11"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majorFont>
      <a:minorFont>
        <a:latin typeface="Calibri" panose="020F0502020204030204"/>
        <a:ea typeface=""/>
        <a:cs typeface=""/>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docProps/app.xml><?xml version="1.0" encoding="utf-8"?>
<Properties xmlns="http://schemas.openxmlformats.org/officeDocument/2006/extended-properties">
  <Application>safe-docx</Application>
</Properties>
</file>

<file path=docProps/core.xml><?xml version="1.0" encoding="utf-8"?>
<cp:coreProperties xmlns:cp="http://schemas.openxmlformats.org/package/2006/metadata/core-properties" xmlns:dc="http://purl.org/dc/elements/1.1/" xmlns:dcterms="http://purl.org/dc/terms/" xmlns:xsi="http://www.w3.org/2001/XMLSchema-instance">
  <dc:title>Employee Restrictive Covenant Agreement</dc:title>
  <dcterms:created xsi:type="dcterms:W3CDTF">2024-01-01T00:00:00Z</dcterms:created>
  <dcterms:modified xsi:type="dcterms:W3CDTF">2024-01-01T00:00:00Z</dcterms:modified>
</cp:coreProperties>
</file>