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Washington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Earnings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$126,858.83 for an employee (or $317,147.09 for an independent contractor) annualized, as adjusted for 2026 under RCW 49.62.040</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information-shaped and is not intended to restrain Employee from engaging in any lawful profession, trade, or business.</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the restraint reasonable and necessary to protect one or more of Employer's Protected Interests. The parties acknowledge that chapter 49.62 RCW governs noncompetition covenants entered into in Washington, that the nonsolicitation, confidentiality, and trade-secret covenants in this agreement are excluded from the statutory definition of a noncompetition covenant under RCW 49.62.010(4), and that any covenant in this agreement that operates as a noncompetition covenant is subject to the conditions in the Washington Statutory Conditions for Any Non-Compete section below. Employer would not provide Employee with access to these Protected Interests absent the protections in this agreement, and each covenant is drawn to the minimum scope, duration, and geography the Protected Interest requires so that no judicial reformation is needed to enforce it.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as required by RCW 49.62.020(1)(a)(i);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b w:val="0"/>
          <w:bCs w:val="0"/>
        </w:rPr>
        <w:t xml:space="preserve">the signing or retention bonus, equity grant, promotion, or other new benefit the parties identify as given specifically in exchange for the restrictive covenants</w:t>
      </w:r>
      <w:r>
        <w:t xml:space="preserve"> as independent consideration given specifically in exchange for the restrictive covenants, as required by RCW 49.62.020(1)(a)(ii); the parties acknowledge that continued at-will employment alone is not independent consideration for a covenant entered into after employment has commenced.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 This section is a confidentiality and trade-secret covenant excluded from the definition of a noncompetition covenant under RCW 49.62.010(4).</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 This covenant is a nonsolicitation agreement within RCW 49.62.010(5)(a) and is excluded from the definition of a noncompetition covenant; it is not drawn to reach the acceptance or transaction of business, which would bring it within RCW 49.62.010(4).</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is a nonsolicitation agreement within RCW 49.62.010(5)(b) and is excluded from the definition of a noncompetition covenant. It reaches only solicitation Employee initiates and does not prohibit accepting or transacting business a Covered Customer brings to Employee; a clause that directly or indirectly prohibited the acceptance or transaction of business with a customer would be a noncompetition covenant under RCW 49.62.010(4) and subject to the Washington Statutory Conditions for Any Non-Compete section below. Effective June 30, 2027, under chapter 49.62 RCW this exclusion is limited to a Covered Customer with whom Employee established or substantially developed a direct relationship through Employee's work for Employer, with the prohibition expiring no later than eighteen months after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directly or indirectly prohibits the acceptance or transaction of business with a customer, this covenant is a noncompetition covenant under RCW 49.62.010(4); it is therefore subject in full to the Washington Statutory Conditions for Any Non-Compete section below, including the earnings threshold, the disclosure-or-consideration timing rule, the layoff garden-leave condition, and the eighteen-month duration presumption.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to a Competitive Business and only within the Restricted Territory, and is drawn no broader in time, place, or scope than the restraint reasonable and necessary to protect Employer's Protected Interests. Passive Public Holdings are permitted. This covenant is a noncompetition covenant under chapter 49.62 RCW and is subject in full to the Washington Statutory Conditions for Any Non-Compete section below. On and after June 30, 2027, this covenant is void and unenforceable under chapter 49.62 RCW, regardless of when the parties entered into it.</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noncompetition covenant under RCW 49.62.010(4); it is therefore subject in full to the Washington Statutory Conditions for Any Non-Compete section below and is drawn no broader than the restraint reasonable and necessary to protect Employer's Protected Interests. On and after June 30, 2027, any provision that requires Employee to return, repay, or forfeit compensation as a consequence of engaging in a lawful profession, trade, or business is a noncompetition covenant under chapter 49.62 RCW.</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Statutory Conditions for Any Non-Compete</w:t>
      </w:r>
    </w:p>
    <w:p>
      <w:pPr>
        <w:pStyle w:val="OABody"/>
        <w:numPr>
          <w:ilvl w:val="1"/>
          <w:numId w:val="1"/>
        </w:numPr>
        <w:spacing w:before="0" w:after="120" w:line="340" w:lineRule="auto"/>
      </w:pPr>
      <w:r>
        <w:t xml:space="preserve">This section applies to every covenant in this agreement that is a noncompetition covenant under chapter 49.62 RCW, including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threshold.</w:t>
      </w:r>
      <w:r>
        <w:t xml:space="preserve"> Each Non-Compete Covenant is enforceable only if Employee's earnings from Employer, when annualized, exceed the applicable threshold in Cover Terms — </w:t>
      </w:r>
      <w:r>
        <w:rPr>
          <w:b w:val="0"/>
          <w:bCs w:val="0"/>
        </w:rPr>
        <w:t xml:space="preserve">$126,858.83 for an employee (or $317,147.09 for an independent contractor) annualized, as adjusted for 2026 under RCW 49.62.040</w:t>
      </w:r>
      <w:r>
        <w:t xml:space="preserve"> — as required by RCW 49.62.020(1)(b) and adjusted annually under RCW 49.62.040. Where Employee is an independent contractor, the higher threshold in RCW 49.62.030 applies, and a covenant between a performer and a performance space must not exceed three calendar days under RCW 49.62.030(2). Earnings are measured from the party seeking enforcement and annualized as of the earlier of the date enforcement is sought or the date of separation, as provided in RCW 49.62.010(1).</w:t>
      </w:r>
    </w:p>
    <w:p>
      <w:pPr>
        <w:pStyle w:val="OABody"/>
        <w:numPr>
          <w:ilvl w:val="1"/>
          <w:numId w:val="1"/>
        </w:numPr>
        <w:spacing w:before="0" w:after="120" w:line="340" w:lineRule="auto"/>
      </w:pPr>
      <w:r>
        <w:rPr>
          <w:b/>
          <w:bCs/>
        </w:rPr>
        <w:t xml:space="preserve">Disclosure or independent consideration.</w:t>
      </w:r>
      <w:r>
        <w:t xml:space="preserve"> Each Non-Compete Covenant is enforceable only if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is enforceable only if its enforcement includes compensation equivalent to Employee's base salary at the time of termination for the period of enforcement, minus compensation earned through subsequent employment during the period of enforcement, as required by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by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June 30, 2027 ban.</w:t>
      </w:r>
      <w:r>
        <w:t xml:space="preserve"> On and after June 30, 2027, each Non-Compete Covenant is void and unenforceable under chapter 49.62 RCW, regardless of when the parties entered into it, and from that date this agreement does not authorize enforcing, attempting to enforce, or threatening to enforce a noncompetition covenant, or representing that Employee is subject to one.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Before June 30, 2027, Employer may disclose the existence and terms of this agreement to a prospective employer or business associate of Employee if Employer has a reasonable belief that Employee may breach this agreement, and Employee consents to that disclosure. On and after June 30, 2027, this clause does not authorize any representation that Employee is subject to a noncompetition covenant, which chapter 49.62 RCW prohibits.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 so that tolling does not carry the covenant past the RCW 49.62.020(2) eighteen-month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Employee acknowledges that, under RCW 49.62.080(2), if a court or arbitrator determines that a noncompetition covenant violates chapter 49.62 RCW, and under RCW 49.62.080(3), if a court or arbitrator reforms, rewrites, modifies, or only partially enforces a noncompetition covenant, the party seeking enforcement must pay the aggrieved person the greater of actual damages or a statutory penalty of $5,000, plus reasonable attorneys' fees, expenses,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The parties intend each restrictive covenant to be enforceable as written; this section is not a request for, and does not authorize reliance on, judicial reformation of any noncompetition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acknowledge that under RCW 49.62.080(3), whenever a court or arbitrator reforms, rewrites, modifies, or only partially enforces any noncompetition covenant, the party seeking enforcement must pay the aggrieved person the greater of actual damages or a $5,000 statutory penalty, plus reasonable attorneys' fees, expenses, and costs. Accordingly, each restrictive covenant in this agreement is drawn to the minimum scope, duration, and geography the Protected Interest requires and is intended to be enforced as written; neither party relies on judicial reformation to cure any overbreadth, and this agreement is not to be read as inviting a court to narrow an overbroad covenant.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Statutory Conditions for Any Non-Compete section and the June 30, 2027 statutory expiry of any Non-Compete Covenant under chapter 49.62 RCW.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Because the earnings threshold in RCW 49.62.020(1)(b) is measured from the party seeking enforcement, an assignee seeking to enforce a Non-Compete Covenant must independently satisfy that threshold as to Employee.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