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Wisconsin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Trade Secrets and other non-public information that is genuinely competitively sensitive to Employer's business — including customer and pricing information, business processes, technical data, and strategic plans — that Employer takes reasonable measures to keep confidential. Confidential Information does not include ordinary, non-secret business information, information generally known in the trade, or information that becomes public through no fault of Employee. The parties intend this definition to be scoped to protectable information so that this covenant is not construed as an unreasonable restraint of trade.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whom Employee supervised, or about whom Employee gained material information during the </w:t>
      </w:r>
      <w:r>
        <w:rPr>
          <w:b w:val="0"/>
          <w:bCs w:val="0"/>
        </w:rPr>
        <w:t xml:space="preserve">12 months</w:t>
      </w:r>
      <w:r>
        <w:t xml:space="preserve"> before termination of employment. This term does not reach every employee of Employer.</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justify a restriction imposed on Employee's activity under Wis. Stat. § 103.465 — Employer's Trade Secrets and genuinely competitively sensitive Confidential Information, its relationships with the specific customers, referral sources, and business partners Employee served, and its stable working relationships with the Covered Employees.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The Restricted Period for each covenant is a fixed and definite period and is not extended by any period of alleged breach or the pendency of any dispute.</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Wisconsin Uniform Trade Secrets Act, Wis. Stat. § 134.90(1)(c).</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drawn to protect one or more of Employer's Protected Interests and is intended to be reasonably necessary for the protection of the employer within the meaning of Wis. Stat. § 103.465. Each post-employment restraint is drawn to rest on a legitimate protectable interest of Employer, a reasonable time limit, and a reasonable territorial limit, and to be no harsher than that protection requires. Employer would not provide Employee with access to its Protected Interests absent the protections in this agreement. Each covenant in this agreement is a separate covenant supporting a distinct interest, intended to be independently read and enforced.</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had an opportunity to consult with an attorney of Employee's choosing before entering into this agreement. Where Employee signs this agreement at or before the start of employment, the offer of employment and the access to Employer's Protected Interests it entails are the consideration for the restrictive covenants. Where Employee signs this agreement during employment, Employer's forbearance from exercising its right to terminate Employee's at-will employment is consideration for the restrictive covenants; the parties intend that forbearance to be genuine and not a pretext for a sign-then-fire sequence. Employee acknowledges receiving one or more of these benefits in exchange for the restrictive covenants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stated in Cover Terms, for as long as the information remains a Trade Secret. Employee's obligations regarding other Confidential Information continue for the Other Confidential Information Duration stated in Cover Terms. The parties intend this covenant to reach only Trade Secrets and genuinely competitively sensitive information, and not ordinary or non-secret business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or making disclosures required by law, subpoena, or court order;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These procedures support Employer's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applies only to Covered Employees — colleagues with whom Employee actually worked, whom Employee supervised, or about whom Employee gained material information during the covered lookback period — and does not reach Employer's workforce generally.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drawn to protect Employer's relationships with the specific customers, referral sources, and business partners Employee served or learned protected information about, and not Employer's customer base generally.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is therefore confined to the Covered Customers class and to a definite Restricted Period.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confined to a protectable interest of Employer and to a reasonable time, territory, and scope. Where Employer's competitors are identified in Cover Terms under Specified Competitors, this covenant is narrowed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operates as a covenant not to compete and is drawn no broader than reasonably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or otherwise exercising rights protected by law.</w:t>
      </w:r>
    </w:p>
    <w:p>
      <w:pPr>
        <w:pStyle w:val="OABody"/>
        <w:keepNext/>
        <w:numPr>
          <w:ilvl w:val="0"/>
          <w:numId w:val="1"/>
        </w:numPr>
        <w:spacing w:before="320" w:after="120" w:line="340" w:lineRule="auto"/>
        <w:jc w:val="left"/>
      </w:pPr>
      <w:r>
        <w:rPr>
          <w:b/>
          <w:bCs/>
        </w:rPr>
        <w:t xml:space="preserve">No Restriction on a Lawyer's Right to Practice</w:t>
      </w:r>
    </w:p>
    <w:p>
      <w:pPr>
        <w:pStyle w:val="OABody"/>
        <w:spacing w:before="0" w:after="120" w:line="340" w:lineRule="auto"/>
        <w:ind w:left="720"/>
      </w:pPr>
      <w:r>
        <w:t xml:space="preserve">Notwithstanding any other provision of this agreement, no restrictive covenant in this agreement restricts the right of a licensed lawyer to practice law after the termination of the relationship. If Employee is a lawyer admitted to practice, the restrictive covenants that would otherwise restrict Employee's right to practice law do not apply and are void and unenforceable as to that right under Wisconsin Supreme Court Rule 20:5.6. This exclusion is not cured by any level of compensation or any showing of reasonableness.</w:t>
      </w:r>
    </w:p>
    <w:p>
      <w:pPr>
        <w:pStyle w:val="OABody"/>
        <w:keepNext/>
        <w:numPr>
          <w:ilvl w:val="0"/>
          <w:numId w:val="1"/>
        </w:numPr>
        <w:spacing w:before="320" w:after="120" w:line="340" w:lineRule="auto"/>
        <w:jc w:val="left"/>
      </w:pPr>
      <w:r>
        <w:rPr>
          <w:b/>
          <w:bCs/>
        </w:rPr>
        <w:t xml:space="preserve">Covenants Arising from a Sale of Business</w:t>
      </w:r>
    </w:p>
    <w:p>
      <w:pPr>
        <w:pStyle w:val="OABody"/>
        <w:spacing w:before="0" w:after="120" w:line="340" w:lineRule="auto"/>
        <w:ind w:left="720"/>
      </w:pPr>
      <w:r>
        <w:t xml:space="preserve">This agreement governs restrictive covenants given by Employee in Employee's capacity as an employee, which are evaluated under Wis. Stat. § 103.465. Any covenant not to compete or not to solicit that arises from a genuine sale of a business or equity transaction is given by the seller in the transaction or equity documents, supported by transaction consideration, and separable from any employment relationship, and is not governed by this agreement. Nothing in this agreement is intended to recharacterize a transaction-based covenant as an employee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enforceable covenant in this agreement. Employee consents to this disclosure. This notice right depends on a covenant that survives the reasonableness test.</w:t>
      </w:r>
    </w:p>
    <w:p>
      <w:pPr>
        <w:pStyle w:val="OABody"/>
        <w:keepNext/>
        <w:numPr>
          <w:ilvl w:val="0"/>
          <w:numId w:val="1"/>
        </w:numPr>
        <w:spacing w:before="320" w:after="120" w:line="340" w:lineRule="auto"/>
        <w:jc w:val="left"/>
      </w:pPr>
      <w:r>
        <w:rPr>
          <w:b/>
          <w:bCs/>
        </w:rPr>
        <w:t xml:space="preserve">No Extension of the Restricted Period During Breach</w:t>
      </w:r>
    </w:p>
    <w:p>
      <w:pPr>
        <w:pStyle w:val="OABody"/>
        <w:spacing w:before="0" w:after="120" w:line="340" w:lineRule="auto"/>
        <w:ind w:left="720"/>
      </w:pPr>
      <w:r>
        <w:t xml:space="preserve">The Restricted Period for each covenant is a fixed and definite period. It is not extended, tolled, or lengthened by any period during which Employee is alleged to be in breach or violation of a covenant, or by the pendency of any dispute or litigation. This agreement includes no extension-during-breach or tolling provision, and none is to be implied.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an enforceable covenant in this agreement may cause Employer irreparable harm for which money damages would be inadequate. Employer may seek injunctive or other equitable relief in addition to any other remedies available at law; any such relief is available only on a covenant that is enforceable under Wis. Stat. § 103.465.</w:t>
      </w:r>
    </w:p>
    <w:p>
      <w:pPr>
        <w:pStyle w:val="OABody"/>
        <w:keepNext/>
        <w:numPr>
          <w:ilvl w:val="0"/>
          <w:numId w:val="1"/>
        </w:numPr>
        <w:spacing w:before="320" w:after="120" w:line="340" w:lineRule="auto"/>
        <w:jc w:val="left"/>
      </w:pPr>
      <w:r>
        <w:rPr>
          <w:b/>
          <w:bCs/>
        </w:rPr>
        <w:t xml:space="preserve">Divisibility; No Reliance on Reformation</w:t>
      </w:r>
    </w:p>
    <w:p>
      <w:pPr>
        <w:pStyle w:val="OABody"/>
        <w:spacing w:before="0" w:after="120" w:line="340" w:lineRule="auto"/>
        <w:ind w:left="720"/>
      </w:pPr>
      <w:r>
        <w:t xml:space="preserve">Each restrictive covenant in this agreement is a separate covenant supporting a distinct interest, is intended to be independently read and enforced, and is drawn to a lawful scope at the outset. Under Wis. Stat. § 103.465, a covenant imposing an unreasonable restraint is illegal, void, and unenforceable even as to any part of the covenant that would be a reasonable restraint, and a court will not narrow or blue-pencil an overbroad covenant. Accordingly, this agreement does not rely on any court-may-modify or savings clause to cure overbreadth, and no such clause has any effect. If any covenant is found unreasonable and void, the remaining covenants, which support different interests and can be independently read and enforced,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and each expires on its own definite schedule and is readable on its own. Obligations under the Confidential Information and Trade Secret Protection section survive to the extent, and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the same limits, conditions, and enforceability as apply between Employer and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employment performed in Wisconsin, the parties select Wisconsin law, including Wis. Stat. § 103.465, and do not rely on any foreign choice-of-law clause to obtain more covenant-friendly treatment.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that re-papers a covenant during employment requires its own consideration, such as genuine forbearance from termination or tangible new value.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