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“Company”</w:t>
      </w:r>
      <w:r>
        <w:rPr>
          <w:rFonts w:ascii="Arial" w:cs="Arial" w:eastAsia="Arial" w:hAnsi="Arial"/>
          <w:color w:val="1D2021"/>
          <w:sz w:val="22"/>
          <w:szCs w:val="22"/>
        </w:rPr>
        <w:t xml:space="preserve"> means the entity identified as Company in Cover Terms.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has the meaning given in Cover Terms under Confidential Information Definition and includes information that Employee learns or develops during employment that is not publicly known.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actual or anticipated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“Effective Date”</w:t>
      </w:r>
      <w:r>
        <w:rPr>
          <w:rFonts w:ascii="Arial" w:cs="Arial" w:eastAsia="Arial" w:hAnsi="Arial"/>
          <w:color w:val="1D2021"/>
          <w:sz w:val="22"/>
          <w:szCs w:val="22"/>
        </w:rPr>
        <w:t xml:space="preserve"> means the date specified in Cover Terms.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“Employee”</w:t>
      </w:r>
      <w:r>
        <w:rPr>
          <w:rFonts w:ascii="Arial" w:cs="Arial" w:eastAsia="Arial" w:hAnsi="Arial"/>
          <w:color w:val="1D2021"/>
          <w:sz w:val="22"/>
          <w:szCs w:val="22"/>
        </w:rPr>
        <w:t xml:space="preserve"> means the individual identified as Employee in Cover Terms.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“Excluded Inventions”</w:t>
      </w:r>
      <w:r>
        <w:rPr>
          <w:rFonts w:ascii="Arial" w:cs="Arial" w:eastAsia="Arial" w:hAnsi="Arial"/>
          <w:color w:val="1D2021"/>
          <w:sz w:val="22"/>
          <w:szCs w:val="22"/>
        </w:rPr>
        <w:t xml:space="preserve"> means inventions described in Cover Terms under Excluded Inventions Statement.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“Prior Inventions”</w:t>
      </w:r>
      <w:r>
        <w:rPr>
          <w:rFonts w:ascii="Arial" w:cs="Arial" w:eastAsia="Arial" w:hAnsi="Arial"/>
          <w:color w:val="1D2021"/>
          <w:sz w:val="22"/>
          <w:szCs w:val="22"/>
        </w:rPr>
        <w:t xml:space="preserve"> means inventions identified in Cover Terms under Prior Inventions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needed to document conception, authorship, development, and transfer of rights for Company business, consistent with lawful policy and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 Inventions and Excluded Inventions remain carved out only to the extent permitted by applicable law. Employee represents that the Prior Inventions disclosure in Cover Terms is complete to Employee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Company policy or law, and will follow the Confidential Information definition set out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subject to reimbursement of reasonable out-of-pocket expenses when required by policy.</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2026-04-29T15:31:25.043Z</dcterms:created>
  <dcterms:modified xsi:type="dcterms:W3CDTF">2026-04-29T15:31:25.043Z</dcterms:modified>
</cp:coreProperties>
</file>

<file path=docProps/custom.xml><?xml version="1.0" encoding="utf-8"?>
<Properties xmlns="http://schemas.openxmlformats.org/officeDocument/2006/custom-properties" xmlns:vt="http://schemas.openxmlformats.org/officeDocument/2006/docPropsVTypes"/>
</file>