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Security Incident Reporting.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Post-Employment Obligations.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Policy Updates.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8"/>
          <w:footerReference w:type="default" r:id="rId9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0"/>
      <w:footerReference w:type="default" r:id="rId11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before="0" w:after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before="0" w:after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before="320" w:after="1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before="0" w:after="28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2026-03-31T00:54:49.200Z</dcterms:created>
  <dcterms:modified xsi:type="dcterms:W3CDTF">2026-03-31T00:54:49.200Z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