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Other Confidential Information Duration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{confidentiality_other_duration}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of Company that Employee learns, accesses, or develops during employment, including business strategies, customer and prospect data, trade secrets, source code, algorithms, security credentials, technical and product information, financial information, personnel information. Confidential Information also includes non-public information of another person or entity that Employee learns or accesses during employment and that Company has agreed to treat as confidential or that was entrusted to Company in confidence.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at the time of conception or reduction to practice,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r>
        <w:t xml:space="preserve">{IF personnel_nonsolicit_included}</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r>
        <w:t xml:space="preserve">{END-IF}</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r>
        <w:t xml:space="preserve">{IF future_employer_notice_included}</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r>
        <w:t xml:space="preserve">{END-IF}</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Each obligation in this agreement continues after employment ends for as long as its own stated term provides. Any provision that by its nature should outlast employment survives the end of employment, and rights that arose during employment remain enforceable after it ends. After employment ends, confidentiality obligations relating to Confidential Information other than trade secrets survive for the Other Confidential Information Duration specified in Cover Terms.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(v0.5.0).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(v0.5.0).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(v0.5.0).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