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210"/>
      </w:pPr>
      <w:r>
        <w:rPr>
          <w:rFonts w:ascii="Georgia" w:cs="Georgia" w:eastAsia="Georgia" w:hAnsi="Georgia"/>
          <w:color w:val="1D2021"/>
          <w:sz w:val="44"/>
          <w:szCs w:val="44"/>
        </w:rPr>
        <w:t xml:space="preserve">Employee IP and Inventions Assignment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144"/>
              <w:left w:type="dxa" w:w="115"/>
              <w:bottom w:type="dxa" w:w="144"/>
              <w:right w:type="dxa" w:w="115"/>
            </w:tcMar>
            <w:vAlign w:val="center"/>
          </w:tcPr>
          <w:p>
            <w:pPr>
              <w:spacing w:after="30" w:line="276"/>
            </w:pPr>
            <w:r>
              <w:rPr>
                <w:rFonts w:ascii="Arial" w:cs="Arial" w:eastAsia="Arial" w:hAnsi="Arial"/>
                <w:b/>
                <w:bCs/>
                <w:color w:val="117086"/>
                <w:sz w:val="22"/>
                <w:szCs w:val="22"/>
              </w:rPr>
              <w:t xml:space="preserve">Cover Terms</w:t>
            </w:r>
          </w:p>
          <w:p>
            <w:pPr>
              <w:spacing w:after="20" w:line="276"/>
            </w:pPr>
            <w:r>
              <w:rPr>
                <w:rFonts w:ascii="Arial" w:cs="Arial" w:eastAsia="Arial" w:hAnsi="Arial"/>
                <w:color w:val="117086"/>
                <w:sz w:val="16"/>
                <w:szCs w:val="16"/>
              </w:rPr>
              <w:t xml:space="preserve">The key business terms of this assignment agreement are as follows.</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Company</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276"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Employee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276"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276"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Prior Inventions Disclosure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276" w:beforeAutospacing="false" w:afterAutospacing="false"/>
              <w:contextualSpacing w:val="false"/>
            </w:pPr>
            <w:r>
              <w:rPr>
                <w:rFonts w:ascii="Arial" w:cs="Arial" w:eastAsia="Arial" w:hAnsi="Arial"/>
                <w:b w:val="false"/>
                <w:bCs w:val="false"/>
                <w:i w:val="false"/>
                <w:iCs w:val="false"/>
                <w:color w:val="1D2021"/>
                <w:sz w:val="22"/>
                <w:szCs w:val="22"/>
              </w:rPr>
              <w:t xml:space="preserve">{prior_inventions_disclosure}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Excluded Inventions Statement</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276" w:beforeAutospacing="false" w:afterAutospacing="false"/>
              <w:contextualSpacing w:val="false"/>
            </w:pPr>
            <w:r>
              <w:rPr>
                <w:rFonts w:ascii="Arial" w:cs="Arial" w:eastAsia="Arial" w:hAnsi="Arial"/>
                <w:b w:val="false"/>
                <w:bCs w:val="false"/>
                <w:i w:val="false"/>
                <w:iCs w:val="false"/>
                <w:color w:val="1D2021"/>
                <w:sz w:val="22"/>
                <w:szCs w:val="22"/>
              </w:rPr>
              <w:t xml:space="preserve">{excluded_inventions_statement}</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Confidential Information Definition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276"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{confidential_information_definition}</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Return of Materials Timing</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276" w:beforeAutospacing="false" w:afterAutospacing="false"/>
              <w:contextualSpacing w:val="false"/>
            </w:pPr>
            <w:r>
              <w:rPr>
                <w:rFonts w:ascii="Arial" w:cs="Arial" w:eastAsia="Arial" w:hAnsi="Arial"/>
                <w:b w:val="false"/>
                <w:bCs w:val="false"/>
                <w:i w:val="false"/>
                <w:iCs w:val="false"/>
                <w:color w:val="1D2021"/>
                <w:sz w:val="22"/>
                <w:szCs w:val="22"/>
              </w:rPr>
              <w:t xml:space="preserve">{return_of_materials_timing}</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Post-Termination Assistance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276" w:beforeAutospacing="false" w:afterAutospacing="false"/>
              <w:contextualSpacing w:val="false"/>
            </w:pPr>
            <w:r>
              <w:rPr>
                <w:rFonts w:ascii="Arial" w:cs="Arial" w:eastAsia="Arial" w:hAnsi="Arial"/>
                <w:b w:val="false"/>
                <w:bCs w:val="false"/>
                <w:i w:val="false"/>
                <w:iCs w:val="false"/>
                <w:color w:val="1D2021"/>
                <w:sz w:val="22"/>
                <w:szCs w:val="22"/>
              </w:rPr>
              <w:t xml:space="preserve">{post_termination_assistance}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276"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Venue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276" w:beforeAutospacing="false" w:afterAutospacing="false"/>
              <w:contextualSpacing w:val="false"/>
            </w:pPr>
            <w:r>
              <w:rPr>
                <w:rFonts w:ascii="Arial" w:cs="Arial" w:eastAsia="Arial" w:hAnsi="Arial"/>
                <w:b w:val="false"/>
                <w:bCs w:val="false"/>
                <w:i w:val="false"/>
                <w:iCs w:val="false"/>
                <w:color w:val="1D2021"/>
                <w:sz w:val="22"/>
                <w:szCs w:val="22"/>
              </w:rPr>
              <w:t xml:space="preserve">{venue}</w:t>
            </w:r>
          </w:p>
        </w:tc>
      </w:tr>
    </w:tbl>
    <w:p>
      <w:pPr>
        <w:sectPr>
          <w:headerReference w:type="default" r:id="rId6"/>
          <w:footerReference w:type="default" r:id="rId7"/>
          <w:pgSz w:w="11906" w:h="16838" w:orient="portrait"/>
          <w:pgMar w:top="936" w:right="1080" w:bottom="720" w:left="1080" w:header="360" w:footer="432" w:gutter="0"/>
          <w:pgNumType/>
          <w:docGrid w:linePitch="360"/>
        </w:sectPr>
      </w:pPr>
    </w:p>
    <w:p>
      <w:pPr>
        <w:spacing w:before="0" w:after="240" w:line="276"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before="320" w:after="120" w:line="340" w:lineRule="auto"/>
      </w:pPr>
      <w:r>
        <w:rPr>
          <w:rFonts w:ascii="Arial" w:cs="Arial" w:eastAsia="Arial" w:hAnsi="Arial"/>
          <w:b/>
          <w:bCs/>
          <w:color w:val="1D2021"/>
          <w:sz w:val="22"/>
          <w:szCs w:val="22"/>
        </w:rPr>
        <w:t xml:space="preserve">1. Assignment of Inventions.</w:t>
      </w:r>
    </w:p>
    <w:p>
      <w:pPr>
        <w:pStyle w:val="OAClauseBody"/>
        <w:spacing w:before="0" w:after="280" w:line="340" w:lineRule="auto"/>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assigns and agrees to assign 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all right, title, and interest in inventions, software, works of authorship, discoveries, designs, data models, and related intellectual property created during employment that arise from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work, use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resources, or relate 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actual or anticipated business, to the extent permitted by law.</w:t>
      </w:r>
    </w:p>
    <w:p>
      <w:pPr>
        <w:pStyle w:val="OAClauseHeading"/>
        <w:spacing w:before="320" w:after="120" w:line="340" w:lineRule="auto"/>
      </w:pPr>
      <w:r>
        <w:rPr>
          <w:rFonts w:ascii="Arial" w:cs="Arial" w:eastAsia="Arial" w:hAnsi="Arial"/>
          <w:b/>
          <w:bCs/>
          <w:color w:val="1D2021"/>
          <w:sz w:val="22"/>
          <w:szCs w:val="22"/>
        </w:rPr>
        <w:t xml:space="preserve">2. Work Made for Hire and Further Assurances.</w:t>
      </w:r>
    </w:p>
    <w:p>
      <w:pPr>
        <w:pStyle w:val="OAClauseBody"/>
        <w:spacing w:before="0" w:after="280" w:line="340" w:lineRule="auto"/>
      </w:pPr>
      <w:r>
        <w:rPr>
          <w:rFonts w:ascii="Arial" w:cs="Arial" w:eastAsia="Arial" w:hAnsi="Arial"/>
          <w:b w:val="false"/>
          <w:bCs w:val="false"/>
          <w:i w:val="false"/>
          <w:iCs w:val="false"/>
          <w:color w:val="1D2021"/>
          <w:sz w:val="22"/>
          <w:szCs w:val="22"/>
        </w:rPr>
        <w:t xml:space="preserve">To the extent legally permitted, copyrightable works prepared within the scope of employment are works made for hire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If any rights do not automatically vest in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assigns those rights and will sign additional documents reasonably requested to confirm ownership and record assignments.</w:t>
      </w:r>
    </w:p>
    <w:p>
      <w:pPr>
        <w:pStyle w:val="OAClauseHeading"/>
        <w:spacing w:before="320" w:after="120" w:line="340" w:lineRule="auto"/>
      </w:pPr>
      <w:r>
        <w:rPr>
          <w:rFonts w:ascii="Arial" w:cs="Arial" w:eastAsia="Arial" w:hAnsi="Arial"/>
          <w:b/>
          <w:bCs/>
          <w:color w:val="1D2021"/>
          <w:sz w:val="22"/>
          <w:szCs w:val="22"/>
        </w:rPr>
        <w:t xml:space="preserve">3. Disclosure and Documentation.</w:t>
      </w:r>
    </w:p>
    <w:p>
      <w:pPr>
        <w:pStyle w:val="OAClauseBody"/>
        <w:spacing w:before="0" w:after="280" w:line="340" w:lineRule="auto"/>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promptly disclose covered inventions and maintain reasonably complete records needed to document conception, authorship, development, and transfer of rights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business, consistent with lawful policy and confidentiality obligations.</w:t>
      </w:r>
    </w:p>
    <w:p>
      <w:pPr>
        <w:pStyle w:val="OAClauseHeading"/>
        <w:spacing w:before="320" w:after="120" w:line="340" w:lineRule="auto"/>
      </w:pPr>
      <w:r>
        <w:rPr>
          <w:rFonts w:ascii="Arial" w:cs="Arial" w:eastAsia="Arial" w:hAnsi="Arial"/>
          <w:b/>
          <w:bCs/>
          <w:color w:val="1D2021"/>
          <w:sz w:val="22"/>
          <w:szCs w:val="22"/>
        </w:rPr>
        <w:t xml:space="preserve">4. Prior and Excluded Inventions.</w:t>
      </w:r>
    </w:p>
    <w:p>
      <w:pPr>
        <w:pStyle w:val="OAClauseBody"/>
        <w:spacing w:before="0" w:after="280" w:line="340" w:lineRule="auto"/>
      </w:pPr>
      <w:r>
        <w:rPr>
          <w:rFonts w:ascii="Arial" w:cs="Arial" w:eastAsia="Arial" w:hAnsi="Arial"/>
          <w:b w:val="false"/>
          <w:bCs w:val="false"/>
          <w:i w:val="false"/>
          <w:iCs w:val="false"/>
          <w:color w:val="1D2021"/>
          <w:sz w:val="22"/>
          <w:szCs w:val="22"/>
        </w:rPr>
        <w:t xml:space="preserve">Inventions identified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as prior or excluded remain carved out only to the extent permitted by applicable law.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represents that the prior inventions disclosure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is complete to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knowledge as of the Effective Date.</w:t>
      </w:r>
    </w:p>
    <w:p>
      <w:pPr>
        <w:pStyle w:val="OAClauseHeading"/>
        <w:spacing w:before="320" w:after="120" w:line="340" w:lineRule="auto"/>
      </w:pPr>
      <w:r>
        <w:rPr>
          <w:rFonts w:ascii="Arial" w:cs="Arial" w:eastAsia="Arial" w:hAnsi="Arial"/>
          <w:b/>
          <w:bCs/>
          <w:color w:val="1D2021"/>
          <w:sz w:val="22"/>
          <w:szCs w:val="22"/>
        </w:rPr>
        <w:t xml:space="preserve">5. Confidential Information and Trade Secrets.</w:t>
      </w:r>
    </w:p>
    <w:p>
      <w:pPr>
        <w:pStyle w:val="OAClauseBody"/>
        <w:spacing w:before="0" w:after="280" w:line="340" w:lineRule="auto"/>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use and protect confidential information solely for authorized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purposes, will not misuse or disclose confidential information except as permitted by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policy or law, and will follow the confidential information definition set out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w:t>
      </w:r>
    </w:p>
    <w:p>
      <w:pPr>
        <w:pStyle w:val="OAClauseHeading"/>
        <w:spacing w:before="320" w:after="120" w:line="340" w:lineRule="auto"/>
      </w:pPr>
      <w:r>
        <w:rPr>
          <w:rFonts w:ascii="Arial" w:cs="Arial" w:eastAsia="Arial" w:hAnsi="Arial"/>
          <w:b/>
          <w:bCs/>
          <w:color w:val="1D2021"/>
          <w:sz w:val="22"/>
          <w:szCs w:val="22"/>
        </w:rPr>
        <w:t xml:space="preserve">6. No Conflicting Obligations.</w:t>
      </w:r>
    </w:p>
    <w:p>
      <w:pPr>
        <w:pStyle w:val="OAClauseBody"/>
        <w:spacing w:before="0" w:after="280" w:line="340" w:lineRule="auto"/>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represents that performing duties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does not knowingly conflict with binding obligations to another person or entity.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not bring third-party confidential information into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systems or use it in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work without written authorization.</w:t>
      </w:r>
    </w:p>
    <w:p>
      <w:pPr>
        <w:pStyle w:val="OAClauseHeading"/>
        <w:spacing w:before="320" w:after="120" w:line="340" w:lineRule="auto"/>
      </w:pPr>
      <w:r>
        <w:rPr>
          <w:rFonts w:ascii="Arial" w:cs="Arial" w:eastAsia="Arial" w:hAnsi="Arial"/>
          <w:b/>
          <w:bCs/>
          <w:color w:val="1D2021"/>
          <w:sz w:val="22"/>
          <w:szCs w:val="22"/>
        </w:rPr>
        <w:t xml:space="preserve">7. Records, Cooperation, and Post-Termination Assistance.</w:t>
      </w:r>
    </w:p>
    <w:p>
      <w:pPr>
        <w:pStyle w:val="OAClauseBody"/>
        <w:spacing w:before="0" w:after="280" w:line="340" w:lineRule="auto"/>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provide the post-termination assistance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including reasonable cooperation with filings, declarations, and assignments needed to confirm or protect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rights in covered inventions, subject to reimbursement of reasonable out-of-pocket expenses when required by policy.</w:t>
      </w:r>
    </w:p>
    <w:p>
      <w:pPr>
        <w:pStyle w:val="OAClauseHeading"/>
        <w:spacing w:before="320" w:after="120" w:line="340" w:lineRule="auto"/>
      </w:pPr>
      <w:r>
        <w:rPr>
          <w:rFonts w:ascii="Arial" w:cs="Arial" w:eastAsia="Arial" w:hAnsi="Arial"/>
          <w:b/>
          <w:bCs/>
          <w:color w:val="1D2021"/>
          <w:sz w:val="22"/>
          <w:szCs w:val="22"/>
        </w:rPr>
        <w:t xml:space="preserve">8. Return and Deletion of Materials.</w:t>
      </w:r>
    </w:p>
    <w:p>
      <w:pPr>
        <w:pStyle w:val="OAClauseBody"/>
        <w:spacing w:before="0" w:after="280" w:line="340" w:lineRule="auto"/>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return, and where permitted delete,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materials within the timing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including devices, documents, credentials, and confidential files, except for records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is required to retain by law.</w:t>
      </w:r>
    </w:p>
    <w:p>
      <w:pPr>
        <w:pStyle w:val="OAClauseHeading"/>
        <w:spacing w:before="320" w:after="120" w:line="340" w:lineRule="auto"/>
      </w:pPr>
      <w:r>
        <w:rPr>
          <w:rFonts w:ascii="Arial" w:cs="Arial" w:eastAsia="Arial" w:hAnsi="Arial"/>
          <w:b/>
          <w:bCs/>
          <w:color w:val="1D2021"/>
          <w:sz w:val="22"/>
          <w:szCs w:val="22"/>
        </w:rPr>
        <w:t xml:space="preserve">9. Survival and Limited Scope.</w:t>
      </w:r>
    </w:p>
    <w:p>
      <w:pPr>
        <w:pStyle w:val="OAClauseBody"/>
        <w:spacing w:before="0" w:after="280" w:line="340" w:lineRule="auto"/>
      </w:pPr>
      <w:r>
        <w:rPr>
          <w:rFonts w:ascii="Arial" w:cs="Arial" w:eastAsia="Arial" w:hAnsi="Arial"/>
          <w:b w:val="false"/>
          <w:bCs w:val="false"/>
          <w:i w:val="false"/>
          <w:iCs w:val="false"/>
          <w:color w:val="1D2021"/>
          <w:sz w:val="22"/>
          <w:szCs w:val="22"/>
        </w:rPr>
        <w:t xml:space="preserve">Sections addressing assignment, confidentiality, return of materials, and assistance survive termination to the extent needed to enforce rights that arose during employment. This agreement does not transfer ownership of inventions that applicable law requires to remain with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w:t>
      </w:r>
    </w:p>
    <w:p>
      <w:pPr>
        <w:pStyle w:val="OAClauseHeading"/>
        <w:spacing w:before="320" w:after="120" w:line="340" w:lineRule="auto"/>
      </w:pPr>
      <w:r>
        <w:rPr>
          <w:rFonts w:ascii="Arial" w:cs="Arial" w:eastAsia="Arial" w:hAnsi="Arial"/>
          <w:b/>
          <w:bCs/>
          <w:color w:val="1D2021"/>
          <w:sz w:val="22"/>
          <w:szCs w:val="22"/>
        </w:rPr>
        <w:t xml:space="preserve">10. Governing Law and Venue.</w:t>
      </w:r>
    </w:p>
    <w:p>
      <w:pPr>
        <w:pStyle w:val="OAClauseBody"/>
        <w:spacing w:before="0" w:after="280" w:line="340" w:lineRule="auto"/>
      </w:pPr>
      <w:r>
        <w:rPr>
          <w:rFonts w:ascii="Arial" w:cs="Arial" w:eastAsia="Arial" w:hAnsi="Arial"/>
          <w:b w:val="false"/>
          <w:bCs w:val="false"/>
          <w:i w:val="false"/>
          <w:iCs w:val="false"/>
          <w:color w:val="1D2021"/>
          <w:sz w:val="22"/>
          <w:szCs w:val="22"/>
        </w:rPr>
        <w:t xml:space="preserve">This agreement is governed by the law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and disputes will be resolved in the venue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subject to non-waivable rights under applicable law.</w:t>
      </w:r>
    </w:p>
    <w:p>
      <w:pPr>
        <w:sectPr>
          <w:headerReference w:type="default" r:id="rId8"/>
          <w:footerReference w:type="default" r:id="rId9"/>
          <w:pgSz w:w="11906" w:h="16838" w:orient="portrait"/>
          <w:pgMar w:top="936" w:right="1080" w:bottom="720" w:left="1080" w:header="360" w:footer="432" w:gutter="0"/>
          <w:pgNumType/>
          <w:docGrid w:linePitch="360"/>
        </w:sectPr>
      </w:pPr>
    </w:p>
    <w:p>
      <w:pPr>
        <w:spacing w:before="0" w:after="240" w:line="276" w:beforeAutospacing="false" w:afterAutospacing="false"/>
        <w:contextualSpacing w:val="false"/>
      </w:pPr>
      <w:r>
        <w:rPr>
          <w:rFonts w:ascii="Arial" w:cs="Arial" w:eastAsia="Arial" w:hAnsi="Arial"/>
          <w:b/>
          <w:bCs/>
          <w:color w:val="117086"/>
          <w:sz w:val="22"/>
          <w:szCs w:val="22"/>
        </w:rPr>
        <w:t xml:space="preserve">Signatures</w:t>
      </w:r>
    </w:p>
    <w:p>
      <w:pPr>
        <w:spacing w:before="0" w:after="120" w:line="276"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assignment and confidentiality obligations above.</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276"/>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276"/>
              <w:jc w:val="center"/>
            </w:pPr>
            <w:r>
              <w:rPr>
                <w:rFonts w:ascii="Arial" w:cs="Arial" w:eastAsia="Arial" w:hAnsi="Arial"/>
                <w:b/>
                <w:bCs/>
                <w:color w:val="8C8D8E"/>
                <w:sz w:val="16"/>
                <w:szCs w:val="16"/>
              </w:rPr>
              <w:t xml:space="preserve">COMPANY</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276"/>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276"/>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276"/>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{company_name}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276"/>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276"/>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
            </w:r>
          </w:p>
        </w:tc>
      </w:tr>
    </w:tbl>
    <w:sectPr>
      <w:headerReference w:type="default" r:id="rId10"/>
      <w:footerReference w:type="default" r:id="rId11"/>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before="0" w:after="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before="0" w:after="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next w:val="Normal"/>
    <w:qFormat/>
    <w:pPr>
      <w:spacing w:before="0" w:after="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before="320" w:after="1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before="0" w:after="28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2026-02-18T08:06:35.014Z</dcterms:created>
  <dcterms:modified xsi:type="dcterms:W3CDTF">2026-02-18T08:06:35.014Z</dcterms:modified>
</cp:coreProperties>
</file>

<file path=docProps/custom.xml><?xml version="1.0" encoding="utf-8"?>
<Properties xmlns="http://schemas.openxmlformats.org/officeDocument/2006/custom-properties" xmlns:vt="http://schemas.openxmlformats.org/officeDocument/2006/docPropsVTypes"/>
</file>